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6FA32">
      <w:pPr>
        <w:keepNext/>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Times New Roman" w:hAnsi="Times New Roman" w:eastAsia="方正小标宋简体" w:cs="方正小标宋简体"/>
          <w:sz w:val="72"/>
          <w:szCs w:val="72"/>
          <w:highlight w:val="none"/>
        </w:rPr>
      </w:pPr>
      <w:bookmarkStart w:id="0" w:name="_Toc15377425"/>
      <w:bookmarkStart w:id="1" w:name="_Toc15378441"/>
      <w:bookmarkStart w:id="2" w:name="_Toc15396475"/>
      <w:bookmarkStart w:id="3" w:name="_Toc15396597"/>
      <w:bookmarkStart w:id="4" w:name="_Toc15377193"/>
      <w:bookmarkStart w:id="5" w:name="_Toc15306267"/>
    </w:p>
    <w:p w14:paraId="116A8FA2">
      <w:pPr>
        <w:keepNext/>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Times New Roman" w:hAnsi="Times New Roman" w:eastAsia="方正小标宋简体" w:cs="方正小标宋简体"/>
          <w:sz w:val="72"/>
          <w:szCs w:val="72"/>
          <w:highlight w:val="none"/>
        </w:rPr>
      </w:pPr>
    </w:p>
    <w:p w14:paraId="0080B5FB">
      <w:pPr>
        <w:keepNext/>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方正小标宋简体" w:hAnsi="方正小标宋简体" w:eastAsia="方正小标宋简体" w:cs="方正小标宋简体"/>
          <w:sz w:val="72"/>
          <w:szCs w:val="72"/>
          <w:highlight w:val="none"/>
        </w:rPr>
      </w:pPr>
      <w:r>
        <w:rPr>
          <w:rFonts w:ascii="Times New Roman" w:hAnsi="Times New Roman" w:eastAsia="方正小标宋简体" w:cs="方正小标宋简体"/>
          <w:sz w:val="72"/>
          <w:szCs w:val="72"/>
          <w:highlight w:val="none"/>
        </w:rPr>
        <w:t>202</w:t>
      </w:r>
      <w:r>
        <w:rPr>
          <w:rFonts w:hint="eastAsia" w:ascii="Times New Roman" w:hAnsi="Times New Roman" w:eastAsia="方正小标宋简体" w:cs="方正小标宋简体"/>
          <w:sz w:val="72"/>
          <w:szCs w:val="72"/>
          <w:highlight w:val="none"/>
          <w:lang w:val="en-US" w:eastAsia="zh-CN"/>
        </w:rPr>
        <w:t>4</w:t>
      </w:r>
      <w:r>
        <w:rPr>
          <w:rFonts w:hint="eastAsia" w:ascii="方正小标宋简体" w:hAnsi="方正小标宋简体" w:eastAsia="方正小标宋简体" w:cs="方正小标宋简体"/>
          <w:sz w:val="72"/>
          <w:szCs w:val="72"/>
          <w:highlight w:val="none"/>
        </w:rPr>
        <w:t>年度</w:t>
      </w:r>
    </w:p>
    <w:p w14:paraId="5B808697">
      <w:pPr>
        <w:keepNext/>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方正小标宋简体" w:hAnsi="方正小标宋简体" w:eastAsia="方正小标宋简体" w:cs="方正小标宋简体"/>
          <w:sz w:val="72"/>
          <w:szCs w:val="72"/>
          <w:highlight w:val="none"/>
        </w:rPr>
      </w:pPr>
      <w:r>
        <w:rPr>
          <w:rFonts w:hint="eastAsia" w:ascii="方正小标宋简体" w:hAnsi="方正小标宋简体" w:eastAsia="方正小标宋简体" w:cs="方正小标宋简体"/>
          <w:sz w:val="72"/>
          <w:szCs w:val="72"/>
          <w:highlight w:val="none"/>
        </w:rPr>
        <w:t>广安市前锋区财政局</w:t>
      </w:r>
    </w:p>
    <w:p w14:paraId="00A3FF1F">
      <w:pPr>
        <w:keepNext/>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方正小标宋简体" w:hAnsi="方正小标宋简体" w:eastAsia="方正小标宋简体" w:cs="方正小标宋简体"/>
          <w:sz w:val="72"/>
          <w:szCs w:val="72"/>
          <w:highlight w:val="none"/>
        </w:rPr>
      </w:pPr>
      <w:r>
        <w:rPr>
          <w:rFonts w:hint="eastAsia" w:ascii="方正小标宋简体" w:hAnsi="方正小标宋简体" w:eastAsia="方正小标宋简体" w:cs="方正小标宋简体"/>
          <w:sz w:val="72"/>
          <w:szCs w:val="72"/>
          <w:highlight w:val="none"/>
        </w:rPr>
        <w:t>部门决算</w:t>
      </w:r>
    </w:p>
    <w:p w14:paraId="04493EB1">
      <w:pPr>
        <w:keepNext/>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Times New Roman" w:hAnsi="Times New Roman"/>
          <w:highlight w:val="none"/>
        </w:rPr>
      </w:pPr>
    </w:p>
    <w:p w14:paraId="01930F22">
      <w:pPr>
        <w:keepNext/>
        <w:keepLines w:val="0"/>
        <w:pageBreakBefore w:val="0"/>
        <w:widowControl w:val="0"/>
        <w:kinsoku/>
        <w:wordWrap/>
        <w:overflowPunct/>
        <w:topLinePunct w:val="0"/>
        <w:autoSpaceDE/>
        <w:autoSpaceDN/>
        <w:bidi w:val="0"/>
        <w:textAlignment w:val="auto"/>
        <w:rPr>
          <w:rFonts w:ascii="Times New Roman" w:hAnsi="Times New Roman" w:eastAsia="宋体" w:cs="Times New Roman"/>
          <w:kern w:val="2"/>
          <w:sz w:val="21"/>
          <w:szCs w:val="24"/>
          <w:highlight w:val="none"/>
          <w:lang w:val="en-US" w:eastAsia="zh-CN" w:bidi="ar-SA"/>
        </w:rPr>
      </w:pPr>
    </w:p>
    <w:p w14:paraId="4E7F5443">
      <w:pPr>
        <w:keepNext/>
        <w:keepLines w:val="0"/>
        <w:pageBreakBefore w:val="0"/>
        <w:widowControl w:val="0"/>
        <w:kinsoku/>
        <w:wordWrap/>
        <w:overflowPunct/>
        <w:topLinePunct w:val="0"/>
        <w:autoSpaceDE/>
        <w:autoSpaceDN/>
        <w:bidi w:val="0"/>
        <w:textAlignment w:val="auto"/>
        <w:rPr>
          <w:highlight w:val="none"/>
          <w:lang w:val="en-US" w:eastAsia="zh-CN"/>
        </w:rPr>
      </w:pPr>
    </w:p>
    <w:p w14:paraId="098A659E">
      <w:pPr>
        <w:keepNext/>
        <w:keepLines w:val="0"/>
        <w:pageBreakBefore w:val="0"/>
        <w:widowControl w:val="0"/>
        <w:kinsoku/>
        <w:wordWrap/>
        <w:overflowPunct/>
        <w:topLinePunct w:val="0"/>
        <w:autoSpaceDE/>
        <w:autoSpaceDN/>
        <w:bidi w:val="0"/>
        <w:textAlignment w:val="auto"/>
        <w:rPr>
          <w:highlight w:val="none"/>
          <w:lang w:val="en-US" w:eastAsia="zh-CN"/>
        </w:rPr>
      </w:pPr>
    </w:p>
    <w:p w14:paraId="4AFC4754">
      <w:pPr>
        <w:keepNext/>
        <w:keepLines w:val="0"/>
        <w:pageBreakBefore w:val="0"/>
        <w:widowControl w:val="0"/>
        <w:kinsoku/>
        <w:wordWrap/>
        <w:overflowPunct/>
        <w:topLinePunct w:val="0"/>
        <w:autoSpaceDE/>
        <w:autoSpaceDN/>
        <w:bidi w:val="0"/>
        <w:textAlignment w:val="auto"/>
        <w:rPr>
          <w:highlight w:val="none"/>
          <w:lang w:val="en-US" w:eastAsia="zh-CN"/>
        </w:rPr>
      </w:pPr>
    </w:p>
    <w:p w14:paraId="17F4B97D">
      <w:pPr>
        <w:keepNext/>
        <w:keepLines w:val="0"/>
        <w:pageBreakBefore w:val="0"/>
        <w:widowControl w:val="0"/>
        <w:kinsoku/>
        <w:wordWrap/>
        <w:overflowPunct/>
        <w:topLinePunct w:val="0"/>
        <w:autoSpaceDE/>
        <w:autoSpaceDN/>
        <w:bidi w:val="0"/>
        <w:textAlignment w:val="auto"/>
        <w:rPr>
          <w:highlight w:val="none"/>
          <w:lang w:val="en-US" w:eastAsia="zh-CN"/>
        </w:rPr>
      </w:pPr>
    </w:p>
    <w:p w14:paraId="102B20AB">
      <w:pPr>
        <w:keepNext/>
        <w:keepLines w:val="0"/>
        <w:pageBreakBefore w:val="0"/>
        <w:widowControl w:val="0"/>
        <w:kinsoku/>
        <w:wordWrap/>
        <w:overflowPunct/>
        <w:topLinePunct w:val="0"/>
        <w:autoSpaceDE/>
        <w:autoSpaceDN/>
        <w:bidi w:val="0"/>
        <w:textAlignment w:val="auto"/>
        <w:rPr>
          <w:highlight w:val="none"/>
          <w:lang w:val="en-US" w:eastAsia="zh-CN"/>
        </w:rPr>
      </w:pPr>
    </w:p>
    <w:p w14:paraId="78CBB700">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r>
        <w:rPr>
          <w:rFonts w:hint="eastAsia"/>
          <w:highlight w:val="none"/>
          <w:lang w:val="en-US" w:eastAsia="zh-CN"/>
        </w:rPr>
        <w:tab/>
      </w:r>
    </w:p>
    <w:p w14:paraId="24970E02">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59F2F9A8">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24AC2393">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7AEA4C2B">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081E5C5F">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29CC7797">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5CDF712C">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05220824">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2464C823">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3D279C16">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5FA2818B">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5ECAA286">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3A26F408">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2FFAE1CB">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72458B11">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7BC7980E">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1A96E8A5">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5836438B">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684AE2EE">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2AC451B9">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3EF9156D">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pPr>
    </w:p>
    <w:p w14:paraId="4D0C5F2E">
      <w:pPr>
        <w:keepNext/>
        <w:keepLines w:val="0"/>
        <w:pageBreakBefore w:val="0"/>
        <w:widowControl w:val="0"/>
        <w:tabs>
          <w:tab w:val="left" w:pos="3399"/>
        </w:tabs>
        <w:kinsoku/>
        <w:wordWrap/>
        <w:overflowPunct/>
        <w:topLinePunct w:val="0"/>
        <w:autoSpaceDE/>
        <w:autoSpaceDN/>
        <w:bidi w:val="0"/>
        <w:jc w:val="left"/>
        <w:textAlignment w:val="auto"/>
        <w:rPr>
          <w:rFonts w:hint="eastAsia"/>
          <w:highlight w:val="none"/>
          <w:lang w:val="en-US" w:eastAsia="zh-CN"/>
        </w:rPr>
        <w:sectPr>
          <w:headerReference r:id="rId3" w:type="default"/>
          <w:footerReference r:id="rId4" w:type="default"/>
          <w:pgSz w:w="11906" w:h="16838"/>
          <w:pgMar w:top="2041" w:right="1531" w:bottom="1701" w:left="1531" w:header="851" w:footer="992" w:gutter="0"/>
          <w:pgNumType w:fmt="decimal" w:start="1"/>
          <w:cols w:space="425" w:num="1"/>
          <w:titlePg/>
          <w:docGrid w:type="lines" w:linePitch="312" w:charSpace="0"/>
        </w:sectPr>
      </w:pPr>
    </w:p>
    <w:bookmarkEnd w:id="0"/>
    <w:bookmarkEnd w:id="1"/>
    <w:bookmarkEnd w:id="2"/>
    <w:bookmarkEnd w:id="3"/>
    <w:bookmarkEnd w:id="4"/>
    <w:bookmarkEnd w:id="5"/>
    <w:p w14:paraId="0D7FCA62">
      <w:pPr>
        <w:keepNext/>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目</w:t>
      </w:r>
      <w:r>
        <w:rPr>
          <w:rFonts w:hint="eastAsia" w:ascii="方正小标宋_GBK" w:hAnsi="方正小标宋_GBK" w:eastAsia="方正小标宋_GBK" w:cs="方正小标宋_GBK"/>
          <w:color w:val="auto"/>
          <w:sz w:val="48"/>
          <w:szCs w:val="48"/>
          <w:highlight w:val="none"/>
          <w:lang w:val="en-US" w:eastAsia="zh-CN"/>
        </w:rPr>
        <w:t xml:space="preserve">  </w:t>
      </w:r>
      <w:r>
        <w:rPr>
          <w:rFonts w:hint="eastAsia" w:ascii="方正小标宋_GBK" w:hAnsi="方正小标宋_GBK" w:eastAsia="方正小标宋_GBK" w:cs="方正小标宋_GBK"/>
          <w:color w:val="auto"/>
          <w:sz w:val="48"/>
          <w:szCs w:val="48"/>
          <w:highlight w:val="none"/>
        </w:rPr>
        <w:t>录</w:t>
      </w:r>
    </w:p>
    <w:p w14:paraId="03CA1499">
      <w:pPr>
        <w:keepNext/>
        <w:keepLines w:val="0"/>
        <w:pageBreakBefore w:val="0"/>
        <w:widowControl w:val="0"/>
        <w:kinsoku/>
        <w:wordWrap/>
        <w:overflowPunct/>
        <w:topLinePunct w:val="0"/>
        <w:autoSpaceDE/>
        <w:autoSpaceDN/>
        <w:bidi w:val="0"/>
        <w:jc w:val="center"/>
        <w:textAlignment w:val="auto"/>
        <w:rPr>
          <w:rFonts w:ascii="Times New Roman" w:hAnsi="Times New Roman" w:eastAsia="黑体" w:cstheme="minorBidi"/>
          <w:color w:val="auto"/>
          <w:sz w:val="28"/>
          <w:szCs w:val="28"/>
          <w:highlight w:val="none"/>
        </w:rPr>
      </w:pPr>
    </w:p>
    <w:p w14:paraId="74B53FD1">
      <w:pPr>
        <w:pStyle w:val="12"/>
        <w:keepNext/>
        <w:keepLines w:val="0"/>
        <w:pageBreakBefore w:val="0"/>
        <w:widowControl w:val="0"/>
        <w:tabs>
          <w:tab w:val="clear" w:pos="8296"/>
        </w:tabs>
        <w:kinsoku/>
        <w:wordWrap/>
        <w:overflowPunct/>
        <w:topLinePunct w:val="0"/>
        <w:autoSpaceDE/>
        <w:autoSpaceDN/>
        <w:bidi w:val="0"/>
        <w:adjustRightInd w:val="0"/>
        <w:snapToGrid w:val="0"/>
        <w:spacing w:before="0" w:line="560" w:lineRule="exact"/>
        <w:jc w:val="center"/>
        <w:textAlignment w:val="auto"/>
        <w:rPr>
          <w:rFonts w:hint="eastAsia" w:ascii="Times New Roman" w:hAnsi="Times New Roman" w:eastAsia="方正仿宋_GBK" w:cs="方正仿宋_GBK"/>
          <w:color w:val="auto"/>
          <w:sz w:val="33"/>
          <w:szCs w:val="33"/>
          <w:highlight w:val="none"/>
          <w:lang w:eastAsia="zh-CN"/>
        </w:rPr>
      </w:pPr>
      <w:r>
        <w:rPr>
          <w:rFonts w:hint="eastAsia" w:ascii="Times New Roman" w:hAnsi="Times New Roman" w:eastAsia="方正仿宋_GBK" w:cs="方正仿宋_GBK"/>
          <w:color w:val="auto"/>
          <w:sz w:val="33"/>
          <w:szCs w:val="33"/>
          <w:highlight w:val="none"/>
          <w:lang w:eastAsia="zh-CN"/>
        </w:rPr>
        <w:t>公开时间：20</w:t>
      </w:r>
      <w:r>
        <w:rPr>
          <w:rFonts w:hint="eastAsia" w:ascii="Times New Roman" w:hAnsi="Times New Roman" w:eastAsia="方正仿宋_GBK" w:cs="方正仿宋_GBK"/>
          <w:color w:val="auto"/>
          <w:sz w:val="33"/>
          <w:szCs w:val="33"/>
          <w:highlight w:val="none"/>
          <w:lang w:val="en-US" w:eastAsia="zh-CN"/>
        </w:rPr>
        <w:t>25</w:t>
      </w:r>
      <w:r>
        <w:rPr>
          <w:rFonts w:hint="eastAsia" w:ascii="Times New Roman" w:hAnsi="Times New Roman" w:eastAsia="方正仿宋_GBK" w:cs="方正仿宋_GBK"/>
          <w:color w:val="auto"/>
          <w:sz w:val="33"/>
          <w:szCs w:val="33"/>
          <w:highlight w:val="none"/>
          <w:lang w:eastAsia="zh-CN"/>
        </w:rPr>
        <w:t>年</w:t>
      </w:r>
      <w:r>
        <w:rPr>
          <w:rFonts w:hint="eastAsia" w:ascii="Times New Roman" w:hAnsi="Times New Roman" w:eastAsia="方正仿宋_GBK" w:cs="方正仿宋_GBK"/>
          <w:color w:val="auto"/>
          <w:sz w:val="33"/>
          <w:szCs w:val="33"/>
          <w:highlight w:val="none"/>
          <w:lang w:val="en-US" w:eastAsia="zh-CN"/>
        </w:rPr>
        <w:t>8</w:t>
      </w:r>
      <w:r>
        <w:rPr>
          <w:rFonts w:hint="eastAsia" w:ascii="Times New Roman" w:hAnsi="Times New Roman" w:eastAsia="方正仿宋_GBK" w:cs="方正仿宋_GBK"/>
          <w:color w:val="auto"/>
          <w:sz w:val="33"/>
          <w:szCs w:val="33"/>
          <w:highlight w:val="none"/>
          <w:lang w:eastAsia="zh-CN"/>
        </w:rPr>
        <w:t>月</w:t>
      </w:r>
      <w:r>
        <w:rPr>
          <w:rFonts w:hint="eastAsia" w:ascii="Times New Roman" w:hAnsi="Times New Roman" w:eastAsia="方正仿宋_GBK" w:cs="方正仿宋_GBK"/>
          <w:color w:val="auto"/>
          <w:sz w:val="33"/>
          <w:szCs w:val="33"/>
          <w:highlight w:val="none"/>
          <w:lang w:val="en-US" w:eastAsia="zh-CN"/>
        </w:rPr>
        <w:t>20</w:t>
      </w:r>
      <w:r>
        <w:rPr>
          <w:rFonts w:hint="eastAsia" w:ascii="Times New Roman" w:hAnsi="Times New Roman" w:eastAsia="方正仿宋_GBK" w:cs="方正仿宋_GBK"/>
          <w:color w:val="auto"/>
          <w:sz w:val="33"/>
          <w:szCs w:val="33"/>
          <w:highlight w:val="none"/>
          <w:lang w:eastAsia="zh-CN"/>
        </w:rPr>
        <w:t>日</w:t>
      </w:r>
    </w:p>
    <w:p w14:paraId="0A85DE62">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3"/>
          <w:szCs w:val="33"/>
          <w:highlight w:val="none"/>
        </w:rPr>
      </w:pPr>
    </w:p>
    <w:p w14:paraId="3A148792">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3"/>
          <w:szCs w:val="33"/>
          <w:highlight w:val="none"/>
          <w:lang w:val="en-US" w:eastAsia="zh-CN"/>
        </w:rPr>
      </w:pPr>
      <w:r>
        <w:rPr>
          <w:rFonts w:hint="eastAsia" w:ascii="Times New Roman" w:hAnsi="Times New Roman" w:eastAsia="黑体" w:cs="黑体"/>
          <w:color w:val="auto"/>
          <w:sz w:val="33"/>
          <w:szCs w:val="33"/>
          <w:highlight w:val="none"/>
        </w:rPr>
        <w:t>第一部分 部门概况</w:t>
      </w:r>
      <w:r>
        <w:rPr>
          <w:rFonts w:hint="eastAsia" w:ascii="Times New Roman" w:hAnsi="Times New Roman" w:eastAsia="黑体" w:cs="黑体"/>
          <w:color w:val="auto"/>
          <w:sz w:val="33"/>
          <w:szCs w:val="33"/>
          <w:highlight w:val="none"/>
          <w:lang w:val="en-US" w:eastAsia="zh-CN"/>
        </w:rPr>
        <w:tab/>
      </w:r>
      <w:r>
        <w:rPr>
          <w:rFonts w:hint="eastAsia" w:ascii="Times New Roman" w:hAnsi="Times New Roman" w:eastAsia="黑体" w:cs="黑体"/>
          <w:color w:val="auto"/>
          <w:sz w:val="33"/>
          <w:szCs w:val="33"/>
          <w:highlight w:val="none"/>
          <w:lang w:val="en-US" w:eastAsia="zh-CN"/>
        </w:rPr>
        <w:t>1</w:t>
      </w:r>
    </w:p>
    <w:p w14:paraId="1F8CC322">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一、部门职责</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1</w:t>
      </w:r>
    </w:p>
    <w:p w14:paraId="4EB90DCA">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二、机构设置</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3</w:t>
      </w:r>
    </w:p>
    <w:p w14:paraId="179DF92E">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3"/>
          <w:szCs w:val="33"/>
          <w:highlight w:val="none"/>
          <w:lang w:val="en-US" w:eastAsia="zh-CN"/>
        </w:rPr>
      </w:pPr>
      <w:r>
        <w:rPr>
          <w:rFonts w:hint="eastAsia" w:ascii="Times New Roman" w:hAnsi="Times New Roman" w:eastAsia="黑体" w:cs="黑体"/>
          <w:color w:val="auto"/>
          <w:sz w:val="33"/>
          <w:szCs w:val="33"/>
          <w:highlight w:val="none"/>
        </w:rPr>
        <w:t>第二部分</w:t>
      </w:r>
      <w:r>
        <w:rPr>
          <w:rFonts w:hint="eastAsia" w:ascii="Times New Roman" w:hAnsi="Times New Roman" w:eastAsia="黑体" w:cs="黑体"/>
          <w:color w:val="auto"/>
          <w:sz w:val="33"/>
          <w:szCs w:val="33"/>
          <w:highlight w:val="none"/>
          <w:lang w:val="en-US" w:eastAsia="zh-CN"/>
        </w:rPr>
        <w:t xml:space="preserve"> 前锋区财政局2024年度</w:t>
      </w:r>
      <w:r>
        <w:rPr>
          <w:rFonts w:hint="eastAsia" w:ascii="Times New Roman" w:hAnsi="Times New Roman" w:eastAsia="黑体" w:cs="黑体"/>
          <w:color w:val="auto"/>
          <w:sz w:val="33"/>
          <w:szCs w:val="33"/>
          <w:highlight w:val="none"/>
        </w:rPr>
        <w:t>部门决算情况说明</w:t>
      </w:r>
      <w:r>
        <w:rPr>
          <w:rFonts w:hint="eastAsia" w:ascii="Times New Roman" w:hAnsi="Times New Roman" w:eastAsia="黑体" w:cs="黑体"/>
          <w:color w:val="auto"/>
          <w:sz w:val="33"/>
          <w:szCs w:val="33"/>
          <w:highlight w:val="none"/>
          <w:lang w:val="en-US" w:eastAsia="zh-CN"/>
        </w:rPr>
        <w:tab/>
      </w:r>
      <w:r>
        <w:rPr>
          <w:rFonts w:hint="eastAsia" w:ascii="Times New Roman" w:hAnsi="Times New Roman" w:eastAsia="黑体" w:cs="黑体"/>
          <w:color w:val="auto"/>
          <w:sz w:val="33"/>
          <w:szCs w:val="33"/>
          <w:highlight w:val="none"/>
          <w:lang w:val="en-US" w:eastAsia="zh-CN"/>
        </w:rPr>
        <w:t>4</w:t>
      </w:r>
    </w:p>
    <w:p w14:paraId="4D891B56">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一、收入支出决算总体情况说明</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4</w:t>
      </w:r>
    </w:p>
    <w:p w14:paraId="07D88546">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二、收入决算情况说明</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4</w:t>
      </w:r>
    </w:p>
    <w:p w14:paraId="23A8225C">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三、支出决算情况说明</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5</w:t>
      </w:r>
    </w:p>
    <w:p w14:paraId="497B20D6">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四、财政拨款收入支出决算总体情况说明</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6</w:t>
      </w:r>
    </w:p>
    <w:p w14:paraId="13967B11">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五、一般公共预算财政拨款支出决算情况说明</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6</w:t>
      </w:r>
    </w:p>
    <w:p w14:paraId="5EBCE62A">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六、一般公共预算财政拨款基本支出决算情况说明</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9</w:t>
      </w:r>
    </w:p>
    <w:p w14:paraId="5537A23E">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七、财政拨款“三公”经费支出决算情况说明</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10</w:t>
      </w:r>
    </w:p>
    <w:p w14:paraId="56E2387F">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八、政府性基金预算支出决算情况说明</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11</w:t>
      </w:r>
    </w:p>
    <w:p w14:paraId="620C366C">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九、国有资本经营预算支出决算情况说明</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12</w:t>
      </w:r>
    </w:p>
    <w:p w14:paraId="02D47BFC">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十、其他重要事项的情况说明</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12</w:t>
      </w:r>
    </w:p>
    <w:p w14:paraId="3B4A528F">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3"/>
          <w:szCs w:val="33"/>
          <w:highlight w:val="none"/>
          <w:lang w:val="en-US" w:eastAsia="zh-CN"/>
        </w:rPr>
      </w:pPr>
      <w:r>
        <w:rPr>
          <w:rFonts w:hint="eastAsia" w:ascii="Times New Roman" w:hAnsi="Times New Roman" w:eastAsia="黑体" w:cs="黑体"/>
          <w:color w:val="auto"/>
          <w:sz w:val="33"/>
          <w:szCs w:val="33"/>
          <w:highlight w:val="none"/>
        </w:rPr>
        <w:t>第三部分 名词解释</w:t>
      </w:r>
      <w:r>
        <w:rPr>
          <w:rFonts w:hint="eastAsia" w:ascii="Times New Roman" w:hAnsi="Times New Roman" w:eastAsia="黑体" w:cs="黑体"/>
          <w:color w:val="auto"/>
          <w:sz w:val="33"/>
          <w:szCs w:val="33"/>
          <w:highlight w:val="none"/>
          <w:lang w:val="en-US" w:eastAsia="zh-CN"/>
        </w:rPr>
        <w:tab/>
      </w:r>
      <w:r>
        <w:rPr>
          <w:rFonts w:hint="eastAsia" w:ascii="Times New Roman" w:hAnsi="Times New Roman" w:eastAsia="黑体" w:cs="黑体"/>
          <w:color w:val="auto"/>
          <w:sz w:val="33"/>
          <w:szCs w:val="33"/>
          <w:highlight w:val="none"/>
          <w:lang w:val="en-US" w:eastAsia="zh-CN"/>
        </w:rPr>
        <w:t>14</w:t>
      </w:r>
    </w:p>
    <w:p w14:paraId="6C26B8AF">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3"/>
          <w:szCs w:val="33"/>
          <w:highlight w:val="none"/>
          <w:lang w:val="en-US" w:eastAsia="zh-CN"/>
        </w:rPr>
      </w:pPr>
      <w:r>
        <w:rPr>
          <w:rFonts w:hint="eastAsia" w:ascii="Times New Roman" w:hAnsi="Times New Roman" w:eastAsia="黑体" w:cs="黑体"/>
          <w:color w:val="auto"/>
          <w:sz w:val="33"/>
          <w:szCs w:val="33"/>
          <w:highlight w:val="none"/>
        </w:rPr>
        <w:t>第四部分 附件</w:t>
      </w:r>
      <w:r>
        <w:rPr>
          <w:rFonts w:hint="eastAsia" w:ascii="Times New Roman" w:hAnsi="Times New Roman" w:eastAsia="黑体" w:cs="黑体"/>
          <w:color w:val="auto"/>
          <w:sz w:val="33"/>
          <w:szCs w:val="33"/>
          <w:highlight w:val="none"/>
          <w:lang w:val="en-US" w:eastAsia="zh-CN"/>
        </w:rPr>
        <w:tab/>
      </w:r>
      <w:r>
        <w:rPr>
          <w:rFonts w:hint="eastAsia" w:ascii="Times New Roman" w:hAnsi="Times New Roman" w:eastAsia="黑体" w:cs="黑体"/>
          <w:color w:val="auto"/>
          <w:sz w:val="33"/>
          <w:szCs w:val="33"/>
          <w:highlight w:val="none"/>
          <w:lang w:val="en-US" w:eastAsia="zh-CN"/>
        </w:rPr>
        <w:t>17</w:t>
      </w:r>
    </w:p>
    <w:p w14:paraId="0BBEF46B">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3"/>
          <w:szCs w:val="33"/>
          <w:highlight w:val="none"/>
          <w:lang w:val="en-US" w:eastAsia="zh-CN"/>
        </w:rPr>
      </w:pPr>
      <w:r>
        <w:rPr>
          <w:rFonts w:hint="eastAsia" w:ascii="Times New Roman" w:hAnsi="Times New Roman" w:eastAsia="黑体" w:cs="黑体"/>
          <w:color w:val="auto"/>
          <w:sz w:val="33"/>
          <w:szCs w:val="33"/>
          <w:highlight w:val="none"/>
        </w:rPr>
        <w:t>第五部分 附表</w:t>
      </w:r>
      <w:r>
        <w:rPr>
          <w:rFonts w:hint="eastAsia" w:ascii="Times New Roman" w:hAnsi="Times New Roman" w:eastAsia="黑体" w:cs="黑体"/>
          <w:color w:val="auto"/>
          <w:sz w:val="33"/>
          <w:szCs w:val="33"/>
          <w:highlight w:val="none"/>
          <w:lang w:val="en-US" w:eastAsia="zh-CN"/>
        </w:rPr>
        <w:tab/>
      </w:r>
      <w:r>
        <w:rPr>
          <w:rFonts w:hint="eastAsia" w:ascii="Times New Roman" w:hAnsi="Times New Roman" w:eastAsia="黑体" w:cs="黑体"/>
          <w:color w:val="auto"/>
          <w:sz w:val="33"/>
          <w:szCs w:val="33"/>
          <w:highlight w:val="none"/>
          <w:lang w:val="en-US" w:eastAsia="zh-CN"/>
        </w:rPr>
        <w:t>25</w:t>
      </w:r>
    </w:p>
    <w:p w14:paraId="29C6C8C2">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一、收入支出决算总表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26</w:t>
      </w:r>
    </w:p>
    <w:p w14:paraId="69EB75A8">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二、收入决算表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27</w:t>
      </w:r>
    </w:p>
    <w:p w14:paraId="1028A2C0">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三、支出决算表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28</w:t>
      </w:r>
    </w:p>
    <w:p w14:paraId="74746D70">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四、财政拨款收入支出决算总表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29</w:t>
      </w:r>
    </w:p>
    <w:p w14:paraId="41D296E5">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五、财政拨款支出决算明细表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30</w:t>
      </w:r>
    </w:p>
    <w:p w14:paraId="0F9A2D5C">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六、一般公共预算财政拨款支出决算表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32</w:t>
      </w:r>
    </w:p>
    <w:p w14:paraId="2A3DAAD6">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七、一般公共预算财政拨款支出决算明细表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33</w:t>
      </w:r>
    </w:p>
    <w:p w14:paraId="78AE74D1">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八、一般公共预算财政拨款基本支出决算明细表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36</w:t>
      </w:r>
    </w:p>
    <w:p w14:paraId="637AD531">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九、一般公共预算财政拨款项目支出决算表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37</w:t>
      </w:r>
    </w:p>
    <w:p w14:paraId="33D70257">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十、政府性基金预算财政拨款收入支出决算表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38</w:t>
      </w:r>
    </w:p>
    <w:p w14:paraId="1FF0A7FB">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十一、国有资本经营预算财政拨款收入支出决算表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39</w:t>
      </w:r>
    </w:p>
    <w:p w14:paraId="6FBAEF61">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十二、国有资本经营预算财政拨款支出决算表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40</w:t>
      </w:r>
    </w:p>
    <w:p w14:paraId="4B0F244F">
      <w:pPr>
        <w:pStyle w:val="12"/>
        <w:keepNext/>
        <w:keepLines w:val="0"/>
        <w:pageBreakBefore w:val="0"/>
        <w:widowControl w:val="0"/>
        <w:tabs>
          <w:tab w:val="right" w:leader="middleDot" w:pos="8620"/>
          <w:tab w:val="clear" w:pos="8296"/>
        </w:tabs>
        <w:kinsoku/>
        <w:wordWrap/>
        <w:overflowPunct/>
        <w:topLinePunct w:val="0"/>
        <w:autoSpaceDE/>
        <w:autoSpaceDN/>
        <w:bidi w:val="0"/>
        <w:adjustRightInd w:val="0"/>
        <w:snapToGrid w:val="0"/>
        <w:spacing w:before="0" w:line="560" w:lineRule="exact"/>
        <w:ind w:firstLine="660" w:firstLineChars="200"/>
        <w:jc w:val="left"/>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十三、财政拨款“三公”经费支出决算表</w:t>
      </w:r>
      <w:r>
        <w:rPr>
          <w:rFonts w:hint="eastAsia" w:ascii="Times New Roman" w:hAnsi="Times New Roman" w:eastAsia="方正仿宋_GBK" w:cs="方正仿宋_GBK"/>
          <w:color w:val="auto"/>
          <w:sz w:val="33"/>
          <w:szCs w:val="33"/>
          <w:highlight w:val="none"/>
          <w:lang w:val="en-US" w:eastAsia="zh-CN"/>
        </w:rPr>
        <w:tab/>
      </w:r>
      <w:r>
        <w:rPr>
          <w:rFonts w:hint="eastAsia" w:ascii="Times New Roman" w:hAnsi="Times New Roman" w:eastAsia="方正仿宋_GBK" w:cs="方正仿宋_GBK"/>
          <w:color w:val="auto"/>
          <w:sz w:val="33"/>
          <w:szCs w:val="33"/>
          <w:highlight w:val="none"/>
          <w:lang w:val="en-US" w:eastAsia="zh-CN"/>
        </w:rPr>
        <w:t>41</w:t>
      </w:r>
    </w:p>
    <w:p w14:paraId="432920E5">
      <w:pPr>
        <w:pStyle w:val="14"/>
        <w:keepNext/>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4897976C">
      <w:pPr>
        <w:pStyle w:val="2"/>
        <w:keepNext/>
        <w:keepLines w:val="0"/>
        <w:pageBreakBefore w:val="0"/>
        <w:widowControl w:val="0"/>
        <w:kinsoku/>
        <w:wordWrap/>
        <w:overflowPunct/>
        <w:topLinePunct w:val="0"/>
        <w:autoSpaceDE/>
        <w:autoSpaceDN/>
        <w:bidi w:val="0"/>
        <w:jc w:val="center"/>
        <w:textAlignment w:val="auto"/>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2041" w:right="1531" w:bottom="1701" w:left="1531" w:header="851" w:footer="992" w:gutter="0"/>
          <w:pgNumType w:fmt="decimal" w:start="1"/>
          <w:cols w:space="425" w:num="1"/>
          <w:titlePg/>
          <w:docGrid w:type="lines" w:linePitch="312" w:charSpace="0"/>
        </w:sectPr>
      </w:pPr>
      <w:bookmarkStart w:id="6" w:name="_Toc15377196"/>
      <w:bookmarkStart w:id="7" w:name="_Toc15396599"/>
    </w:p>
    <w:p w14:paraId="4C17DD66">
      <w:pPr>
        <w:pStyle w:val="2"/>
        <w:keepNext/>
        <w:keepLines w:val="0"/>
        <w:pageBreakBefore w:val="0"/>
        <w:widowControl w:val="0"/>
        <w:kinsoku/>
        <w:wordWrap/>
        <w:overflowPunct/>
        <w:topLinePunct w:val="0"/>
        <w:autoSpaceDE/>
        <w:autoSpaceDN/>
        <w:bidi w:val="0"/>
        <w:adjustRightInd/>
        <w:snapToGrid/>
        <w:spacing w:before="0" w:after="0" w:line="700" w:lineRule="exact"/>
        <w:jc w:val="center"/>
        <w:textAlignment w:val="auto"/>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14:paraId="1EFEED0B">
      <w:pPr>
        <w:keepNext/>
        <w:keepLines w:val="0"/>
        <w:pageBreakBefore w:val="0"/>
        <w:widowControl w:val="0"/>
        <w:kinsoku/>
        <w:wordWrap/>
        <w:overflowPunct/>
        <w:topLinePunct w:val="0"/>
        <w:autoSpaceDE/>
        <w:autoSpaceDN/>
        <w:bidi w:val="0"/>
        <w:spacing w:line="590" w:lineRule="exact"/>
        <w:ind w:firstLine="660" w:firstLineChars="200"/>
        <w:jc w:val="both"/>
        <w:textAlignment w:val="auto"/>
        <w:rPr>
          <w:rFonts w:ascii="Times New Roman" w:hAnsi="Times New Roman" w:eastAsia="黑体"/>
          <w:color w:val="auto"/>
          <w:sz w:val="33"/>
          <w:szCs w:val="33"/>
          <w:highlight w:val="none"/>
        </w:rPr>
      </w:pPr>
    </w:p>
    <w:p w14:paraId="79AC8316">
      <w:pPr>
        <w:pStyle w:val="3"/>
        <w:keepNext/>
        <w:keepLines w:val="0"/>
        <w:pageBreakBefore w:val="0"/>
        <w:widowControl w:val="0"/>
        <w:kinsoku/>
        <w:wordWrap/>
        <w:overflowPunct/>
        <w:topLinePunct w:val="0"/>
        <w:autoSpaceDE/>
        <w:autoSpaceDN/>
        <w:bidi w:val="0"/>
        <w:spacing w:before="0" w:after="0" w:line="590" w:lineRule="exact"/>
        <w:ind w:firstLine="660" w:firstLineChars="200"/>
        <w:jc w:val="both"/>
        <w:textAlignment w:val="auto"/>
        <w:rPr>
          <w:rFonts w:hint="eastAsia" w:ascii="方正黑体_GBK" w:hAnsi="方正黑体_GBK" w:eastAsia="方正黑体_GBK" w:cs="方正黑体_GBK"/>
          <w:b w:val="0"/>
          <w:color w:val="auto"/>
          <w:sz w:val="33"/>
          <w:szCs w:val="33"/>
          <w:highlight w:val="none"/>
        </w:rPr>
      </w:pPr>
      <w:r>
        <w:rPr>
          <w:rFonts w:hint="eastAsia" w:ascii="方正黑体_GBK" w:hAnsi="方正黑体_GBK" w:eastAsia="方正黑体_GBK" w:cs="方正黑体_GBK"/>
          <w:b w:val="0"/>
          <w:color w:val="auto"/>
          <w:sz w:val="33"/>
          <w:szCs w:val="33"/>
          <w:highlight w:val="none"/>
          <w:lang w:eastAsia="zh-CN"/>
        </w:rPr>
        <w:t>一、部门职责</w:t>
      </w:r>
    </w:p>
    <w:p w14:paraId="79ED1ED0">
      <w:pPr>
        <w:keepNext/>
        <w:keepLines w:val="0"/>
        <w:pageBreakBefore w:val="0"/>
        <w:widowControl w:val="0"/>
        <w:kinsoku/>
        <w:wordWrap/>
        <w:overflowPunct/>
        <w:topLinePunct w:val="0"/>
        <w:autoSpaceDE/>
        <w:autoSpaceDN/>
        <w:bidi w:val="0"/>
        <w:adjustRightInd/>
        <w:snapToGrid w:val="0"/>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拟订全区财税发展战略、规划和改革方案并组织实施。 分析预测宏观经济形势</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参与制定宏观经济政策</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提出运用财税政策实施宏观调控和综合平衡社会财力的建议。拟订区与镇、街道</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园区</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、政府与企业的分配政策</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完善鼓励公益事业发展的财税政策。</w:t>
      </w:r>
    </w:p>
    <w:p w14:paraId="6AC26326">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贯彻执行财政、税收、财务、会计管理的法律、法规和规章。拟订全区性财税规范性文件并组织实施</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按照管理权限管理全区税政事项。</w:t>
      </w:r>
    </w:p>
    <w:p w14:paraId="204C1AFB">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负责管理各项财政收支。编制年度区级预决算草案并组 织执行。组织制定经费开支标准、定额</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审核批复部门</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单位</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年度预决算。受区政府委托</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向区人民代表大会及其常委会报告财政预算、执行和决算等情况。负责区级预决算公开。负责全面实施预算绩效管理。</w:t>
      </w:r>
    </w:p>
    <w:p w14:paraId="3C348A30">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4.</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按分工负</w:t>
      </w:r>
      <w:r>
        <w:rPr>
          <w:rFonts w:hint="eastAsia" w:eastAsia="方正仿宋_GBK" w:cs="方正仿宋_GBK"/>
          <w:color w:val="000000" w:themeColor="text1"/>
          <w:sz w:val="33"/>
          <w:szCs w:val="33"/>
          <w:highlight w:val="none"/>
          <w:u w:val="none"/>
          <w:lang w:val="en-US" w:eastAsia="zh-CN"/>
          <w14:textFill>
            <w14:solidFill>
              <w14:schemeClr w14:val="tx1"/>
            </w14:solidFill>
          </w14:textFill>
        </w:rPr>
        <w:t>责</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政府非税收入管理。负责政府性基金管理</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 xml:space="preserve"> 按规定管理行政事业性收费等其他非税收入。管理财政票据。执行彩票管理政策和有关办法</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监管彩票市场</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按规定管理彩票资金。</w:t>
      </w:r>
    </w:p>
    <w:p w14:paraId="4C056C4A">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5.</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组织制定全区国库管理制度、国库集中收付制度</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指导和监督国库业务</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开展国库现金管理工作。贯彻执行政府财务报告编制办法并组织实施。负</w:t>
      </w:r>
      <w:r>
        <w:rPr>
          <w:rFonts w:hint="eastAsia" w:eastAsia="方正仿宋_GBK" w:cs="方正仿宋_GBK"/>
          <w:color w:val="000000" w:themeColor="text1"/>
          <w:sz w:val="33"/>
          <w:szCs w:val="33"/>
          <w:highlight w:val="none"/>
          <w:u w:val="none"/>
          <w:lang w:val="en-US" w:eastAsia="zh-CN"/>
          <w14:textFill>
            <w14:solidFill>
              <w14:schemeClr w14:val="tx1"/>
            </w14:solidFill>
          </w14:textFill>
        </w:rPr>
        <w:t>责</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制定、执行政府采购制度并监督管理。</w:t>
      </w:r>
    </w:p>
    <w:p w14:paraId="762F5991">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6.</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贯彻执行地方政府债务管理制度和政策</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制定具体管理 办法</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执行地方政府债务余额限额计划</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统一管理政府外债</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防范财政风险。</w:t>
      </w:r>
    </w:p>
    <w:p w14:paraId="42817E7C">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7.</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牵头编制全区国有资产管理情况报告。拟订全区行政事业单位国有资产管理制度并组织实施</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推进全区行政事业单位经营性的国有资产集中统一监管工作。组织实施国有企业财务制度及企业财务会计报告编制办法。</w:t>
      </w:r>
    </w:p>
    <w:p w14:paraId="7996BD87">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8.</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负责审核并汇总编制全区国有资本经营预决算草案。制 定国有资本经营预算制度和办法</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收取区本级企业国有资本收益。组织实施企业财务制度</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负责财政预算内行政事业单位和社会团体的非贸易外汇和财政预算内的国际收支管理。</w:t>
      </w:r>
    </w:p>
    <w:p w14:paraId="45273F92">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9.</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负责审核并汇总编制全区社会保险基金预决算草案</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会同有关部门拟订有关资金</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基金</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财务管理制度。承担社会保险基金财政监管工作。</w:t>
      </w:r>
    </w:p>
    <w:p w14:paraId="0A8892DF">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10.</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w:t>
      </w:r>
      <w:r>
        <w:rPr>
          <w:rFonts w:hint="eastAsia" w:eastAsia="方正仿宋_GBK" w:cs="方正仿宋_GBK"/>
          <w:color w:val="000000" w:themeColor="text1"/>
          <w:sz w:val="33"/>
          <w:szCs w:val="33"/>
          <w:highlight w:val="none"/>
          <w:u w:val="none"/>
          <w:lang w:val="en-US" w:eastAsia="zh-CN"/>
          <w14:textFill>
            <w14:solidFill>
              <w14:schemeClr w14:val="tx1"/>
            </w14:solidFill>
          </w14:textFill>
        </w:rPr>
        <w:t>责</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办理和监督区级财政的经济发展支出、区级政府性投资项目的财政拨款</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负责投资评审管理工作</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参与拟订区级基建投资有关政策、制定基建财务管理制度。</w:t>
      </w:r>
    </w:p>
    <w:p w14:paraId="0E6C918C">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11.</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管理外国政府和国际金融机构贷</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赠</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款项目的有关业务</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参与财经领域的国际交流与合作。</w:t>
      </w:r>
    </w:p>
    <w:p w14:paraId="2F85A16F">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12.</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负责管理全区会计工作</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监督和规范会计行为</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组织实施国家统一的会计制度。授权指导和监督注册会计师和会计师事务所的业务</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指导和管理社会审计</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依法管理资产评估有关工作。</w:t>
      </w:r>
    </w:p>
    <w:p w14:paraId="3597013F">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13.</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代表区政府履行出资人职责</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承担区级国有企业国有资本监督管理。</w:t>
      </w:r>
    </w:p>
    <w:p w14:paraId="210731DB">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14.</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负责职责范围内的安全生产和职业健康、生态环境保护、审批服务便民化等工作。</w:t>
      </w:r>
    </w:p>
    <w:p w14:paraId="7F11AC6F">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eastAsia"/>
          <w:sz w:val="33"/>
          <w:szCs w:val="33"/>
          <w:highlight w:val="none"/>
          <w:lang w:eastAsia="zh-CN"/>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15.</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完成区委、区政府交办的其他任务。</w:t>
      </w:r>
    </w:p>
    <w:p w14:paraId="28FF4590">
      <w:pPr>
        <w:pStyle w:val="3"/>
        <w:keepNext/>
        <w:keepLines w:val="0"/>
        <w:pageBreakBefore w:val="0"/>
        <w:widowControl w:val="0"/>
        <w:kinsoku/>
        <w:wordWrap/>
        <w:overflowPunct/>
        <w:topLinePunct w:val="0"/>
        <w:autoSpaceDE/>
        <w:autoSpaceDN/>
        <w:bidi w:val="0"/>
        <w:spacing w:before="0" w:after="0" w:line="590" w:lineRule="exact"/>
        <w:ind w:firstLine="660" w:firstLineChars="200"/>
        <w:jc w:val="both"/>
        <w:textAlignment w:val="auto"/>
        <w:rPr>
          <w:rStyle w:val="31"/>
          <w:rFonts w:hint="eastAsia" w:ascii="方正黑体_GBK" w:hAnsi="方正黑体_GBK" w:eastAsia="方正黑体_GBK" w:cs="方正黑体_GBK"/>
          <w:b w:val="0"/>
          <w:bCs w:val="0"/>
          <w:color w:val="auto"/>
          <w:sz w:val="33"/>
          <w:szCs w:val="33"/>
          <w:highlight w:val="none"/>
        </w:rPr>
      </w:pPr>
      <w:bookmarkStart w:id="8" w:name="_Toc15377200"/>
      <w:bookmarkStart w:id="9" w:name="_Toc15396601"/>
      <w:r>
        <w:rPr>
          <w:rFonts w:hint="eastAsia" w:ascii="方正黑体_GBK" w:hAnsi="方正黑体_GBK" w:eastAsia="方正黑体_GBK" w:cs="方正黑体_GBK"/>
          <w:b w:val="0"/>
          <w:color w:val="auto"/>
          <w:sz w:val="33"/>
          <w:szCs w:val="33"/>
          <w:highlight w:val="none"/>
        </w:rPr>
        <w:t>二、机</w:t>
      </w:r>
      <w:r>
        <w:rPr>
          <w:rStyle w:val="31"/>
          <w:rFonts w:hint="eastAsia" w:ascii="方正黑体_GBK" w:hAnsi="方正黑体_GBK" w:eastAsia="方正黑体_GBK" w:cs="方正黑体_GBK"/>
          <w:b w:val="0"/>
          <w:bCs w:val="0"/>
          <w:color w:val="auto"/>
          <w:sz w:val="33"/>
          <w:szCs w:val="33"/>
          <w:highlight w:val="none"/>
        </w:rPr>
        <w:t>构设置</w:t>
      </w:r>
      <w:bookmarkEnd w:id="8"/>
      <w:bookmarkEnd w:id="9"/>
    </w:p>
    <w:p w14:paraId="66DEA6B4">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广安市前锋区财政局下属二级预算单位</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8</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个，其中行政单位</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个，参照公务员法管理的事业单位</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个，其他事业单位</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6</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个。</w:t>
      </w:r>
    </w:p>
    <w:p w14:paraId="0DD720A3">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纳入广安市前锋区财政局2024年度部门决算编制范围的二级预算单位包括：</w:t>
      </w:r>
    </w:p>
    <w:p w14:paraId="1B7D70A0">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bookmarkStart w:id="10" w:name="_Toc15378448"/>
      <w:bookmarkStart w:id="11" w:name="_Toc15377201"/>
      <w:bookmarkStart w:id="12" w:name="_Toc15306275"/>
      <w:bookmarkStart w:id="13" w:name="_Toc15377432"/>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1.区财政国库支付中心</w:t>
      </w:r>
    </w:p>
    <w:p w14:paraId="55A5F40E">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2.区财政投资评审中心</w:t>
      </w:r>
    </w:p>
    <w:p w14:paraId="289E76D7">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3.区国有资产管理服务中心</w:t>
      </w:r>
    </w:p>
    <w:p w14:paraId="42F2691B">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4.区政府债券项目编审中心</w:t>
      </w:r>
    </w:p>
    <w:p w14:paraId="60E22C56">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5.区政府与社会资本合作中心</w:t>
      </w:r>
      <w:bookmarkEnd w:id="10"/>
      <w:bookmarkEnd w:id="11"/>
      <w:bookmarkEnd w:id="12"/>
      <w:bookmarkEnd w:id="13"/>
    </w:p>
    <w:p w14:paraId="528898F5">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6.区金融服务中心</w:t>
      </w:r>
    </w:p>
    <w:p w14:paraId="2FDBD106">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ascii="Times New Roman" w:hAnsi="Times New Roman" w:eastAsia="仿宋"/>
          <w:color w:val="auto"/>
          <w:kern w:val="0"/>
          <w:sz w:val="33"/>
          <w:szCs w:val="33"/>
          <w:highlight w:val="none"/>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7.区财政结算中心</w:t>
      </w:r>
      <w:r>
        <w:rPr>
          <w:rFonts w:ascii="Times New Roman" w:hAnsi="Times New Roman" w:eastAsia="仿宋"/>
          <w:color w:val="auto"/>
          <w:sz w:val="33"/>
          <w:szCs w:val="33"/>
          <w:highlight w:val="none"/>
        </w:rPr>
        <w:br w:type="page"/>
      </w:r>
    </w:p>
    <w:p w14:paraId="0F38D4E9">
      <w:pPr>
        <w:pStyle w:val="2"/>
        <w:keepNext/>
        <w:keepLines w:val="0"/>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Times New Roman" w:hAnsi="Times New Roman" w:eastAsia="方正小标宋简体" w:cs="方正小标宋简体"/>
          <w:b w:val="0"/>
          <w:color w:val="auto"/>
          <w:highlight w:val="none"/>
        </w:rPr>
      </w:pPr>
      <w:bookmarkStart w:id="14" w:name="_Toc15377204"/>
      <w:bookmarkStart w:id="15"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p>
    <w:p w14:paraId="2792B393">
      <w:pPr>
        <w:keepNext/>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color w:val="auto"/>
          <w:sz w:val="33"/>
          <w:szCs w:val="33"/>
          <w:highlight w:val="none"/>
        </w:rPr>
      </w:pPr>
    </w:p>
    <w:p w14:paraId="5D7D58C5">
      <w:pPr>
        <w:pStyle w:val="3"/>
        <w:keepNext/>
        <w:keepLines w:val="0"/>
        <w:pageBreakBefore w:val="0"/>
        <w:widowControl w:val="0"/>
        <w:kinsoku/>
        <w:wordWrap/>
        <w:overflowPunct/>
        <w:topLinePunct w:val="0"/>
        <w:autoSpaceDE/>
        <w:autoSpaceDN/>
        <w:bidi w:val="0"/>
        <w:spacing w:before="0" w:after="0" w:line="590" w:lineRule="exact"/>
        <w:ind w:firstLine="660" w:firstLineChars="200"/>
        <w:jc w:val="both"/>
        <w:textAlignment w:val="auto"/>
        <w:rPr>
          <w:rFonts w:hint="eastAsia" w:ascii="方正黑体_GBK" w:hAnsi="方正黑体_GBK" w:eastAsia="方正黑体_GBK" w:cs="方正黑体_GBK"/>
          <w:b w:val="0"/>
          <w:color w:val="auto"/>
          <w:sz w:val="33"/>
          <w:szCs w:val="33"/>
          <w:highlight w:val="none"/>
        </w:rPr>
      </w:pPr>
      <w:bookmarkStart w:id="16" w:name="_Toc15377205"/>
      <w:bookmarkStart w:id="17" w:name="_Toc15396603"/>
      <w:r>
        <w:rPr>
          <w:rFonts w:hint="eastAsia" w:ascii="方正黑体_GBK" w:hAnsi="方正黑体_GBK" w:eastAsia="方正黑体_GBK" w:cs="方正黑体_GBK"/>
          <w:b w:val="0"/>
          <w:color w:val="auto"/>
          <w:sz w:val="33"/>
          <w:szCs w:val="33"/>
          <w:highlight w:val="none"/>
          <w:lang w:eastAsia="zh-CN"/>
        </w:rPr>
        <w:t>一、</w:t>
      </w:r>
      <w:r>
        <w:rPr>
          <w:rFonts w:hint="eastAsia" w:ascii="方正黑体_GBK" w:hAnsi="方正黑体_GBK" w:eastAsia="方正黑体_GBK" w:cs="方正黑体_GBK"/>
          <w:b w:val="0"/>
          <w:color w:val="auto"/>
          <w:sz w:val="33"/>
          <w:szCs w:val="33"/>
          <w:highlight w:val="none"/>
        </w:rPr>
        <w:t>收入支出决算总体情况说明</w:t>
      </w:r>
      <w:bookmarkEnd w:id="16"/>
      <w:bookmarkEnd w:id="17"/>
    </w:p>
    <w:p w14:paraId="644AB09A">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2024</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年度收入、支出总计均为</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1232.07</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万元。与202</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年度相比，收入、支出总计各减少</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207.68</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万元，下降</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14.42</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%。主要变动原因是</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2022年底解决存量资金200万元纳入2023年部门决算。</w:t>
      </w:r>
    </w:p>
    <w:p w14:paraId="42695BB5">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（图</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：收入、支出决算总计变动情况图）（柱状图）</w:t>
      </w:r>
    </w:p>
    <w:p w14:paraId="0CB4D173">
      <w:pPr>
        <w:keepNext/>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仿宋_GB2312" w:cs="仿宋_GB2312"/>
          <w:color w:val="auto"/>
          <w:sz w:val="32"/>
          <w:szCs w:val="32"/>
          <w:highlight w:val="none"/>
          <w:lang w:eastAsia="zh-CN"/>
        </w:rPr>
      </w:pPr>
      <w:r>
        <w:rPr>
          <w:highlight w:val="none"/>
        </w:rPr>
        <w:drawing>
          <wp:inline distT="0" distB="0" distL="114300" distR="114300">
            <wp:extent cx="5059680" cy="3000375"/>
            <wp:effectExtent l="4445" t="4445" r="10795" b="1270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D94211">
      <w:pPr>
        <w:pStyle w:val="3"/>
        <w:keepNext/>
        <w:keepLines w:val="0"/>
        <w:pageBreakBefore w:val="0"/>
        <w:widowControl w:val="0"/>
        <w:kinsoku/>
        <w:wordWrap/>
        <w:overflowPunct/>
        <w:topLinePunct w:val="0"/>
        <w:autoSpaceDE/>
        <w:autoSpaceDN/>
        <w:bidi w:val="0"/>
        <w:spacing w:before="0" w:after="0" w:line="590" w:lineRule="exact"/>
        <w:ind w:firstLine="660" w:firstLineChars="200"/>
        <w:jc w:val="both"/>
        <w:textAlignment w:val="auto"/>
        <w:rPr>
          <w:rFonts w:hint="eastAsia" w:ascii="方正黑体_GBK" w:hAnsi="方正黑体_GBK" w:eastAsia="方正黑体_GBK" w:cs="方正黑体_GBK"/>
          <w:b w:val="0"/>
          <w:color w:val="auto"/>
          <w:sz w:val="33"/>
          <w:szCs w:val="33"/>
          <w:highlight w:val="none"/>
          <w:lang w:eastAsia="zh-CN"/>
        </w:rPr>
      </w:pPr>
      <w:bookmarkStart w:id="18" w:name="_Toc15396604"/>
      <w:bookmarkStart w:id="19" w:name="_Toc15377206"/>
      <w:r>
        <w:rPr>
          <w:rFonts w:hint="eastAsia" w:ascii="方正黑体_GBK" w:hAnsi="方正黑体_GBK" w:eastAsia="方正黑体_GBK" w:cs="方正黑体_GBK"/>
          <w:b w:val="0"/>
          <w:color w:val="auto"/>
          <w:sz w:val="33"/>
          <w:szCs w:val="33"/>
          <w:highlight w:val="none"/>
          <w:lang w:eastAsia="zh-CN"/>
        </w:rPr>
        <w:t>二、收入决算情况说明</w:t>
      </w:r>
      <w:bookmarkEnd w:id="18"/>
      <w:bookmarkEnd w:id="19"/>
    </w:p>
    <w:p w14:paraId="02EC4967">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2024年度本年收入合计1135.57万元，其中：一般公共预算财政拨款收入1044.97万元，占92.03%；政府性基金预算财政拨款收入90.6万元，占7.97%；国有资本经营预算财政拨款收入0万元，占0%；上级补助收入0万元，占0%；事业收入0万元，占0%；经营收入0万元，占0%；附属单位上缴收入0万元，占0%；其他收入0万元，占0%。</w:t>
      </w:r>
    </w:p>
    <w:p w14:paraId="520CF2CD">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（图2：收入决算结构图）（饼状图）</w:t>
      </w:r>
    </w:p>
    <w:p w14:paraId="04328FAB">
      <w:pPr>
        <w:keepNext/>
        <w:keepLines w:val="0"/>
        <w:pageBreakBefore w:val="0"/>
        <w:widowControl w:val="0"/>
        <w:kinsoku/>
        <w:wordWrap/>
        <w:overflowPunct/>
        <w:topLinePunct w:val="0"/>
        <w:autoSpaceDE/>
        <w:autoSpaceDN/>
        <w:bidi w:val="0"/>
        <w:ind w:firstLine="525" w:firstLineChars="250"/>
        <w:textAlignment w:val="auto"/>
        <w:rPr>
          <w:rFonts w:hint="eastAsia" w:ascii="Times New Roman" w:hAnsi="Times New Roman" w:eastAsia="仿宋_GB2312" w:cs="仿宋_GB2312"/>
          <w:color w:val="auto"/>
          <w:sz w:val="32"/>
          <w:szCs w:val="32"/>
          <w:highlight w:val="none"/>
          <w:lang w:eastAsia="zh-CN"/>
        </w:rPr>
      </w:pPr>
      <w:r>
        <w:rPr>
          <w:highlight w:val="none"/>
        </w:rPr>
        <w:drawing>
          <wp:inline distT="0" distB="0" distL="114300" distR="114300">
            <wp:extent cx="4645025" cy="2438400"/>
            <wp:effectExtent l="4445" t="4445" r="17780"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B8559C">
      <w:pPr>
        <w:pStyle w:val="3"/>
        <w:keepNext/>
        <w:keepLines w:val="0"/>
        <w:pageBreakBefore w:val="0"/>
        <w:widowControl w:val="0"/>
        <w:kinsoku/>
        <w:wordWrap/>
        <w:overflowPunct/>
        <w:topLinePunct w:val="0"/>
        <w:autoSpaceDE/>
        <w:autoSpaceDN/>
        <w:bidi w:val="0"/>
        <w:spacing w:before="0" w:after="0" w:line="590" w:lineRule="exact"/>
        <w:ind w:firstLine="660" w:firstLineChars="200"/>
        <w:jc w:val="both"/>
        <w:textAlignment w:val="auto"/>
        <w:rPr>
          <w:rFonts w:hint="eastAsia" w:ascii="方正黑体_GBK" w:hAnsi="方正黑体_GBK" w:eastAsia="方正黑体_GBK" w:cs="方正黑体_GBK"/>
          <w:b w:val="0"/>
          <w:color w:val="auto"/>
          <w:sz w:val="33"/>
          <w:szCs w:val="33"/>
          <w:highlight w:val="none"/>
          <w:lang w:val="en-US" w:eastAsia="zh-CN"/>
        </w:rPr>
      </w:pPr>
      <w:bookmarkStart w:id="20" w:name="_Toc15396605"/>
      <w:bookmarkStart w:id="21" w:name="_Toc15377207"/>
      <w:r>
        <w:rPr>
          <w:rFonts w:hint="eastAsia" w:ascii="方正黑体_GBK" w:hAnsi="方正黑体_GBK" w:eastAsia="方正黑体_GBK" w:cs="方正黑体_GBK"/>
          <w:b w:val="0"/>
          <w:color w:val="auto"/>
          <w:sz w:val="33"/>
          <w:szCs w:val="33"/>
          <w:highlight w:val="none"/>
          <w:lang w:val="en-US" w:eastAsia="zh-CN"/>
        </w:rPr>
        <w:t>三、支出决算情况说明</w:t>
      </w:r>
      <w:bookmarkEnd w:id="20"/>
      <w:bookmarkEnd w:id="21"/>
    </w:p>
    <w:p w14:paraId="71CA920E">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2024年度本年支出合计1230.98万元，其中：基本支出826.03万元，占67.1%；项目支出404.95万元，占32.89%；上缴上级支出0万元，占0%；经营支出0万元，占0%；对附属单位补助支出0万元，占0%。</w:t>
      </w:r>
    </w:p>
    <w:p w14:paraId="1FCE08A9">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（图3：支出决算结构图）（饼状图）</w:t>
      </w:r>
    </w:p>
    <w:p w14:paraId="38ABC769">
      <w:pPr>
        <w:keepNext/>
        <w:keepLines w:val="0"/>
        <w:pageBreakBefore w:val="0"/>
        <w:widowControl w:val="0"/>
        <w:kinsoku/>
        <w:wordWrap/>
        <w:overflowPunct/>
        <w:topLinePunct w:val="0"/>
        <w:autoSpaceDE/>
        <w:autoSpaceDN/>
        <w:bidi w:val="0"/>
        <w:ind w:firstLine="525" w:firstLineChars="250"/>
        <w:textAlignment w:val="auto"/>
        <w:rPr>
          <w:rFonts w:hint="eastAsia" w:ascii="Times New Roman" w:hAnsi="Times New Roman" w:eastAsia="仿宋_GB2312" w:cs="仿宋_GB2312"/>
          <w:color w:val="auto"/>
          <w:sz w:val="32"/>
          <w:szCs w:val="32"/>
          <w:highlight w:val="none"/>
          <w:lang w:eastAsia="zh-CN"/>
        </w:rPr>
      </w:pPr>
      <w:r>
        <w:rPr>
          <w:highlight w:val="none"/>
        </w:rPr>
        <w:drawing>
          <wp:inline distT="0" distB="0" distL="114300" distR="114300">
            <wp:extent cx="4645660" cy="2305685"/>
            <wp:effectExtent l="4445" t="4445" r="17145" b="1397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CA6A73">
      <w:pPr>
        <w:pStyle w:val="3"/>
        <w:keepNext/>
        <w:keepLines w:val="0"/>
        <w:pageBreakBefore w:val="0"/>
        <w:widowControl w:val="0"/>
        <w:kinsoku/>
        <w:wordWrap/>
        <w:overflowPunct/>
        <w:topLinePunct w:val="0"/>
        <w:autoSpaceDE/>
        <w:autoSpaceDN/>
        <w:bidi w:val="0"/>
        <w:spacing w:before="0" w:after="0" w:line="590" w:lineRule="exact"/>
        <w:ind w:firstLine="660" w:firstLineChars="200"/>
        <w:jc w:val="both"/>
        <w:textAlignment w:val="auto"/>
        <w:rPr>
          <w:rFonts w:hint="eastAsia" w:ascii="方正黑体_GBK" w:hAnsi="方正黑体_GBK" w:eastAsia="方正黑体_GBK" w:cs="方正黑体_GBK"/>
          <w:b w:val="0"/>
          <w:color w:val="auto"/>
          <w:sz w:val="33"/>
          <w:szCs w:val="33"/>
          <w:highlight w:val="none"/>
          <w:lang w:val="en-US" w:eastAsia="zh-CN"/>
        </w:rPr>
      </w:pPr>
      <w:bookmarkStart w:id="22" w:name="_Toc15396606"/>
      <w:bookmarkStart w:id="23" w:name="_Toc15377208"/>
      <w:r>
        <w:rPr>
          <w:rFonts w:hint="eastAsia" w:ascii="方正黑体_GBK" w:hAnsi="方正黑体_GBK" w:eastAsia="方正黑体_GBK" w:cs="方正黑体_GBK"/>
          <w:b w:val="0"/>
          <w:color w:val="auto"/>
          <w:sz w:val="33"/>
          <w:szCs w:val="33"/>
          <w:highlight w:val="none"/>
          <w:lang w:val="en-US" w:eastAsia="zh-CN"/>
        </w:rPr>
        <w:t>四、财政拨款收入支出决算总体情况说明</w:t>
      </w:r>
      <w:bookmarkEnd w:id="22"/>
      <w:bookmarkEnd w:id="23"/>
    </w:p>
    <w:p w14:paraId="0F538820">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2024年度财政拨款收入、支出总计均为1232.07万元。与2023年度相比，财政拨款收入总计、支出总计各减少207.68万元，下降14.42%。主要变动原因是2022年底解决存量资金200万元纳入2023年部门决算。</w:t>
      </w:r>
    </w:p>
    <w:p w14:paraId="237C62A0">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（图4：财政拨款收、支决算总计变动情况）（柱状图）</w:t>
      </w:r>
    </w:p>
    <w:p w14:paraId="3C8D8E62">
      <w:pPr>
        <w:pStyle w:val="3"/>
        <w:keepNext/>
        <w:keepLines w:val="0"/>
        <w:pageBreakBefore w:val="0"/>
        <w:widowControl w:val="0"/>
        <w:kinsoku/>
        <w:wordWrap/>
        <w:overflowPunct/>
        <w:topLinePunct w:val="0"/>
        <w:autoSpaceDE/>
        <w:autoSpaceDN/>
        <w:bidi w:val="0"/>
        <w:spacing w:before="0" w:after="0" w:line="590" w:lineRule="exact"/>
        <w:ind w:firstLine="660" w:firstLineChars="200"/>
        <w:jc w:val="both"/>
        <w:textAlignment w:val="auto"/>
        <w:rPr>
          <w:rFonts w:hint="eastAsia" w:ascii="方正黑体_GBK" w:hAnsi="方正黑体_GBK" w:eastAsia="方正黑体_GBK" w:cs="方正黑体_GBK"/>
          <w:b w:val="0"/>
          <w:color w:val="auto"/>
          <w:sz w:val="33"/>
          <w:szCs w:val="33"/>
          <w:highlight w:val="none"/>
          <w:lang w:val="en-US" w:eastAsia="zh-CN"/>
        </w:rPr>
      </w:pPr>
      <w:r>
        <w:rPr>
          <w:rFonts w:hint="eastAsia" w:ascii="方正黑体_GBK" w:hAnsi="方正黑体_GBK" w:eastAsia="方正黑体_GBK" w:cs="方正黑体_GBK"/>
          <w:b w:val="0"/>
          <w:color w:val="auto"/>
          <w:sz w:val="33"/>
          <w:szCs w:val="33"/>
          <w:highlight w:val="none"/>
          <w:lang w:val="en-US" w:eastAsia="zh-CN"/>
        </w:rPr>
        <w:drawing>
          <wp:anchor distT="0" distB="0" distL="114300" distR="114300" simplePos="0" relativeHeight="251660288" behindDoc="0" locked="0" layoutInCell="1" allowOverlap="1">
            <wp:simplePos x="0" y="0"/>
            <wp:positionH relativeFrom="column">
              <wp:posOffset>220345</wp:posOffset>
            </wp:positionH>
            <wp:positionV relativeFrom="paragraph">
              <wp:posOffset>263525</wp:posOffset>
            </wp:positionV>
            <wp:extent cx="5059680" cy="3000375"/>
            <wp:effectExtent l="4445" t="4445" r="10795" b="12700"/>
            <wp:wrapSquare wrapText="bothSides"/>
            <wp:docPr id="104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24" w:name="_Toc15396607"/>
      <w:bookmarkStart w:id="25" w:name="_Toc15377209"/>
      <w:r>
        <w:rPr>
          <w:rFonts w:hint="eastAsia" w:ascii="方正黑体_GBK" w:hAnsi="方正黑体_GBK" w:eastAsia="方正黑体_GBK" w:cs="方正黑体_GBK"/>
          <w:b w:val="0"/>
          <w:color w:val="auto"/>
          <w:sz w:val="33"/>
          <w:szCs w:val="33"/>
          <w:highlight w:val="none"/>
          <w:lang w:val="en-US" w:eastAsia="zh-CN"/>
        </w:rPr>
        <w:t>五、一般公共预算财政拨款支出决算情况说明</w:t>
      </w:r>
      <w:bookmarkEnd w:id="24"/>
      <w:bookmarkEnd w:id="25"/>
    </w:p>
    <w:p w14:paraId="601514D9">
      <w:pPr>
        <w:keepNext/>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pPr>
      <w:bookmarkStart w:id="26" w:name="_Toc15377210"/>
      <w:r>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t>（一）一般公共预算财政拨款支出决算总体情况</w:t>
      </w:r>
      <w:bookmarkEnd w:id="26"/>
    </w:p>
    <w:p w14:paraId="6F47CD6E">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2024年度一般公共预算财政拨款支出1088.04万元，占本年支出合计的88.38%。与2023年度相比，一般公共预算财政拨款支出减少123.06万元，下降10.16%。主要变动原因是2022年底解决存量资金200万元纳入2023年部门决算。</w:t>
      </w:r>
    </w:p>
    <w:p w14:paraId="04CDDD35">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（图5：一般公共预算财政拨款支出决算变动情况）（柱状图）</w:t>
      </w:r>
    </w:p>
    <w:p w14:paraId="33ECF575">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highlight w:val="none"/>
        </w:rPr>
        <w:drawing>
          <wp:anchor distT="0" distB="0" distL="114300" distR="114300" simplePos="0" relativeHeight="251661312" behindDoc="0" locked="0" layoutInCell="1" allowOverlap="1">
            <wp:simplePos x="0" y="0"/>
            <wp:positionH relativeFrom="column">
              <wp:posOffset>86995</wp:posOffset>
            </wp:positionH>
            <wp:positionV relativeFrom="paragraph">
              <wp:posOffset>113665</wp:posOffset>
            </wp:positionV>
            <wp:extent cx="5086350" cy="2645410"/>
            <wp:effectExtent l="4445" t="4445" r="14605" b="1714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64FC97F">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875CD22">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ECE1AD4">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57C0353">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3FD48E4">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E46920A">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77BD65FF">
      <w:pPr>
        <w:keepNext/>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pPr>
      <w:bookmarkStart w:id="27" w:name="_Toc15377211"/>
      <w:r>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t>（二）一般公共预算财政拨款支出决算结构情况</w:t>
      </w:r>
      <w:bookmarkEnd w:id="27"/>
    </w:p>
    <w:p w14:paraId="6951AB11">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2024年度一般公共预算财政拨款支出1088.04万元，主要用于以下方面：一般公共服务支出892.76万元，占82.05%；社会保障和就业支出100.18万元，占9.21%；卫生健康支出27.32万元，占2.51%；</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农林水支出</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2.9</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万元，占</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0.27</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住房保障支出64.88万元，占5.96%。</w:t>
      </w:r>
    </w:p>
    <w:p w14:paraId="7274F233">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（图6：一般公共预算财政拨款支出决算结构）（饼状图）</w:t>
      </w:r>
    </w:p>
    <w:p w14:paraId="1CDD8212">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highlight w:val="none"/>
        </w:rPr>
        <w:drawing>
          <wp:anchor distT="0" distB="0" distL="114300" distR="114300" simplePos="0" relativeHeight="251662336" behindDoc="0" locked="0" layoutInCell="1" allowOverlap="1">
            <wp:simplePos x="0" y="0"/>
            <wp:positionH relativeFrom="column">
              <wp:posOffset>385445</wp:posOffset>
            </wp:positionH>
            <wp:positionV relativeFrom="paragraph">
              <wp:posOffset>109855</wp:posOffset>
            </wp:positionV>
            <wp:extent cx="4826000" cy="2515235"/>
            <wp:effectExtent l="4445" t="4445" r="8255" b="1397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E4CC664">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7E8A6B5">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263B2BE6">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1F22C0C">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2F03912B">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62E22685">
      <w:pPr>
        <w:keepNext/>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pPr>
      <w:bookmarkStart w:id="28" w:name="_Toc15377212"/>
      <w:r>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t>（三）一般公共预算财政拨款支出决算具体情况</w:t>
      </w:r>
      <w:bookmarkEnd w:id="28"/>
    </w:p>
    <w:p w14:paraId="6AD7C1E3">
      <w:pPr>
        <w:keepNext/>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color w:val="auto"/>
          <w:kern w:val="2"/>
          <w:sz w:val="33"/>
          <w:szCs w:val="33"/>
          <w:highlight w:val="none"/>
          <w:lang w:val="en-US" w:eastAsia="zh-CN" w:bidi="ar-SA"/>
        </w:rPr>
      </w:pPr>
      <w:bookmarkStart w:id="29" w:name="_Toc15377213"/>
      <w:bookmarkStart w:id="30" w:name="_Toc15377444"/>
      <w:bookmarkStart w:id="31" w:name="_Toc15378460"/>
      <w:r>
        <w:rPr>
          <w:rFonts w:hint="eastAsia" w:ascii="Times New Roman" w:hAnsi="Times New Roman" w:eastAsia="方正仿宋_GBK" w:cs="方正仿宋_GBK"/>
          <w:color w:val="auto"/>
          <w:kern w:val="2"/>
          <w:sz w:val="33"/>
          <w:szCs w:val="33"/>
          <w:highlight w:val="none"/>
          <w:lang w:val="en-US" w:eastAsia="zh-CN" w:bidi="ar-SA"/>
        </w:rPr>
        <w:t>2024年度一般公共预算财政拨款支出决算数为1088.04，完成预算104.12%。其中：</w:t>
      </w:r>
      <w:bookmarkEnd w:id="29"/>
      <w:bookmarkEnd w:id="30"/>
      <w:bookmarkEnd w:id="31"/>
    </w:p>
    <w:p w14:paraId="684578BD">
      <w:pPr>
        <w:keepNext/>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1.</w:t>
      </w:r>
      <w:r>
        <w:rPr>
          <w:rFonts w:hint="eastAsia" w:ascii="Times New Roman" w:hAnsi="Times New Roman" w:eastAsia="方正仿宋_GBK" w:cs="方正仿宋_GBK"/>
          <w:b/>
          <w:color w:val="000000"/>
          <w:kern w:val="2"/>
          <w:sz w:val="33"/>
          <w:szCs w:val="33"/>
          <w:highlight w:val="none"/>
          <w:lang w:val="en-US"/>
        </w:rPr>
        <w:t>一般公共服务支出（类）财政事务（款）</w:t>
      </w:r>
      <w:r>
        <w:rPr>
          <w:rFonts w:hint="eastAsia" w:ascii="Times New Roman" w:hAnsi="Times New Roman" w:eastAsia="方正仿宋_GBK" w:cs="方正仿宋_GBK"/>
          <w:b/>
          <w:color w:val="000000"/>
          <w:kern w:val="2"/>
          <w:sz w:val="33"/>
          <w:szCs w:val="33"/>
          <w:highlight w:val="none"/>
          <w:lang w:val="en-US" w:eastAsia="zh-CN"/>
        </w:rPr>
        <w:t>行政运行</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292.01</w:t>
      </w:r>
      <w:r>
        <w:rPr>
          <w:rFonts w:hint="eastAsia" w:ascii="Times New Roman" w:hAnsi="Times New Roman" w:eastAsia="方正仿宋_GBK" w:cs="方正仿宋_GBK"/>
          <w:color w:val="auto"/>
          <w:kern w:val="2"/>
          <w:sz w:val="33"/>
          <w:szCs w:val="33"/>
          <w:highlight w:val="none"/>
          <w:lang w:val="en-US"/>
        </w:rPr>
        <w:t>万元，完成预算</w:t>
      </w:r>
      <w:r>
        <w:rPr>
          <w:rFonts w:hint="eastAsia" w:ascii="Times New Roman" w:hAnsi="Times New Roman" w:eastAsia="方正仿宋_GBK" w:cs="方正仿宋_GBK"/>
          <w:color w:val="auto"/>
          <w:kern w:val="2"/>
          <w:sz w:val="33"/>
          <w:szCs w:val="33"/>
          <w:highlight w:val="none"/>
          <w:lang w:val="en-US" w:eastAsia="zh-CN" w:bidi="ar-SA"/>
        </w:rPr>
        <w:t>100.04%</w:t>
      </w:r>
      <w:r>
        <w:rPr>
          <w:rFonts w:hint="eastAsia" w:ascii="Times New Roman" w:hAnsi="Times New Roman" w:eastAsia="方正仿宋_GBK" w:cs="方正仿宋_GBK"/>
          <w:color w:val="auto"/>
          <w:kern w:val="2"/>
          <w:sz w:val="33"/>
          <w:szCs w:val="33"/>
          <w:highlight w:val="none"/>
          <w:lang w:val="en-US"/>
        </w:rPr>
        <w:t>，决算数</w:t>
      </w:r>
      <w:r>
        <w:rPr>
          <w:rFonts w:hint="eastAsia" w:ascii="Times New Roman" w:hAnsi="Times New Roman" w:eastAsia="方正仿宋_GBK" w:cs="方正仿宋_GBK"/>
          <w:color w:val="auto"/>
          <w:kern w:val="2"/>
          <w:sz w:val="33"/>
          <w:szCs w:val="33"/>
          <w:highlight w:val="none"/>
          <w:lang w:val="en-US" w:eastAsia="zh-CN"/>
        </w:rPr>
        <w:t>大</w:t>
      </w:r>
      <w:r>
        <w:rPr>
          <w:rFonts w:hint="eastAsia" w:ascii="Times New Roman" w:hAnsi="Times New Roman" w:eastAsia="方正仿宋_GBK" w:cs="方正仿宋_GBK"/>
          <w:color w:val="auto"/>
          <w:kern w:val="2"/>
          <w:sz w:val="33"/>
          <w:szCs w:val="33"/>
          <w:highlight w:val="none"/>
          <w:lang w:val="en-US"/>
        </w:rPr>
        <w:t>于预算数的主要原因是</w:t>
      </w:r>
      <w:r>
        <w:rPr>
          <w:rFonts w:hint="eastAsia" w:ascii="Times New Roman" w:hAnsi="Times New Roman" w:eastAsia="方正仿宋_GBK" w:cs="方正仿宋_GBK"/>
          <w:color w:val="auto"/>
          <w:kern w:val="2"/>
          <w:sz w:val="33"/>
          <w:szCs w:val="33"/>
          <w:highlight w:val="none"/>
          <w:lang w:val="en-US" w:eastAsia="zh-CN" w:bidi="ar-SA"/>
        </w:rPr>
        <w:t>2023</w:t>
      </w:r>
      <w:r>
        <w:rPr>
          <w:rFonts w:hint="eastAsia" w:ascii="Times New Roman" w:hAnsi="Times New Roman" w:eastAsia="方正仿宋_GBK" w:cs="方正仿宋_GBK"/>
          <w:color w:val="auto"/>
          <w:kern w:val="2"/>
          <w:sz w:val="33"/>
          <w:szCs w:val="33"/>
          <w:highlight w:val="none"/>
          <w:lang w:val="en-US" w:eastAsia="zh-CN"/>
        </w:rPr>
        <w:t>年退回多支出重新安排支出</w:t>
      </w:r>
      <w:r>
        <w:rPr>
          <w:rFonts w:hint="eastAsia" w:ascii="Times New Roman" w:hAnsi="Times New Roman" w:eastAsia="方正仿宋_GBK" w:cs="方正仿宋_GBK"/>
          <w:color w:val="auto"/>
          <w:kern w:val="2"/>
          <w:sz w:val="33"/>
          <w:szCs w:val="33"/>
          <w:highlight w:val="none"/>
          <w:lang w:val="en-US"/>
        </w:rPr>
        <w:t>。</w:t>
      </w:r>
    </w:p>
    <w:p w14:paraId="1AC11DB7">
      <w:pPr>
        <w:keepNext/>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2.</w:t>
      </w:r>
      <w:r>
        <w:rPr>
          <w:rFonts w:hint="eastAsia" w:ascii="Times New Roman" w:hAnsi="Times New Roman" w:eastAsia="方正仿宋_GBK" w:cs="方正仿宋_GBK"/>
          <w:b/>
          <w:color w:val="000000"/>
          <w:kern w:val="2"/>
          <w:sz w:val="33"/>
          <w:szCs w:val="33"/>
          <w:highlight w:val="none"/>
          <w:lang w:val="en-US"/>
        </w:rPr>
        <w:t>一般公共服务支出（类）财政事务（款）</w:t>
      </w:r>
      <w:r>
        <w:rPr>
          <w:rFonts w:hint="eastAsia" w:ascii="Times New Roman" w:hAnsi="Times New Roman" w:eastAsia="方正仿宋_GBK" w:cs="方正仿宋_GBK"/>
          <w:b/>
          <w:color w:val="000000"/>
          <w:kern w:val="2"/>
          <w:sz w:val="33"/>
          <w:szCs w:val="33"/>
          <w:highlight w:val="none"/>
          <w:lang w:val="en-US" w:eastAsia="zh-CN"/>
        </w:rPr>
        <w:t>事业运行</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293.0</w:t>
      </w:r>
      <w:r>
        <w:rPr>
          <w:rFonts w:hint="eastAsia" w:ascii="Times New Roman" w:hAnsi="Times New Roman" w:eastAsia="方正仿宋_GBK" w:cs="方正仿宋_GBK"/>
          <w:color w:val="auto"/>
          <w:kern w:val="2"/>
          <w:sz w:val="33"/>
          <w:szCs w:val="33"/>
          <w:highlight w:val="none"/>
          <w:lang w:val="en-US" w:eastAsia="zh-CN"/>
        </w:rPr>
        <w:t>1</w:t>
      </w:r>
      <w:r>
        <w:rPr>
          <w:rFonts w:hint="eastAsia" w:ascii="Times New Roman" w:hAnsi="Times New Roman" w:eastAsia="方正仿宋_GBK" w:cs="方正仿宋_GBK"/>
          <w:color w:val="auto"/>
          <w:kern w:val="2"/>
          <w:sz w:val="33"/>
          <w:szCs w:val="33"/>
          <w:highlight w:val="none"/>
          <w:lang w:val="en-US"/>
        </w:rPr>
        <w:t>万元，完成预算</w:t>
      </w:r>
      <w:r>
        <w:rPr>
          <w:rFonts w:hint="eastAsia" w:ascii="Times New Roman" w:hAnsi="Times New Roman" w:eastAsia="方正仿宋_GBK" w:cs="方正仿宋_GBK"/>
          <w:color w:val="auto"/>
          <w:kern w:val="2"/>
          <w:sz w:val="33"/>
          <w:szCs w:val="33"/>
          <w:highlight w:val="none"/>
          <w:lang w:val="en-US" w:eastAsia="zh-CN" w:bidi="ar-SA"/>
        </w:rPr>
        <w:t>100%</w:t>
      </w:r>
      <w:r>
        <w:rPr>
          <w:rFonts w:hint="eastAsia" w:ascii="Times New Roman" w:hAnsi="Times New Roman" w:eastAsia="方正仿宋_GBK" w:cs="方正仿宋_GBK"/>
          <w:color w:val="auto"/>
          <w:kern w:val="2"/>
          <w:sz w:val="33"/>
          <w:szCs w:val="33"/>
          <w:highlight w:val="none"/>
          <w:lang w:val="en-US"/>
        </w:rPr>
        <w:t>，决算数</w:t>
      </w:r>
      <w:r>
        <w:rPr>
          <w:rFonts w:hint="eastAsia" w:ascii="Times New Roman" w:hAnsi="Times New Roman" w:eastAsia="方正仿宋_GBK" w:cs="方正仿宋_GBK"/>
          <w:color w:val="auto"/>
          <w:kern w:val="2"/>
          <w:sz w:val="33"/>
          <w:szCs w:val="33"/>
          <w:highlight w:val="none"/>
          <w:lang w:val="en-US" w:eastAsia="zh-CN"/>
        </w:rPr>
        <w:t>等于</w:t>
      </w:r>
      <w:r>
        <w:rPr>
          <w:rFonts w:hint="eastAsia" w:ascii="Times New Roman" w:hAnsi="Times New Roman" w:eastAsia="方正仿宋_GBK" w:cs="方正仿宋_GBK"/>
          <w:color w:val="auto"/>
          <w:kern w:val="2"/>
          <w:sz w:val="33"/>
          <w:szCs w:val="33"/>
          <w:highlight w:val="none"/>
          <w:lang w:val="en-US"/>
        </w:rPr>
        <w:t>预算数。</w:t>
      </w:r>
    </w:p>
    <w:p w14:paraId="3183E59D">
      <w:pPr>
        <w:keepNext/>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3.</w:t>
      </w:r>
      <w:r>
        <w:rPr>
          <w:rFonts w:hint="eastAsia" w:ascii="Times New Roman" w:hAnsi="Times New Roman" w:eastAsia="方正仿宋_GBK" w:cs="方正仿宋_GBK"/>
          <w:b/>
          <w:color w:val="000000"/>
          <w:kern w:val="2"/>
          <w:sz w:val="33"/>
          <w:szCs w:val="33"/>
          <w:highlight w:val="none"/>
          <w:lang w:val="en-US"/>
        </w:rPr>
        <w:t>一般公共服务支出（类）财政事务（款）</w:t>
      </w:r>
      <w:r>
        <w:rPr>
          <w:rFonts w:hint="eastAsia" w:ascii="Times New Roman" w:hAnsi="Times New Roman" w:eastAsia="方正仿宋_GBK" w:cs="方正仿宋_GBK"/>
          <w:b/>
          <w:color w:val="000000"/>
          <w:kern w:val="2"/>
          <w:sz w:val="33"/>
          <w:szCs w:val="33"/>
          <w:highlight w:val="none"/>
          <w:lang w:val="en-US" w:eastAsia="zh-CN"/>
        </w:rPr>
        <w:t>其他财政事务支出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289.54</w:t>
      </w:r>
      <w:r>
        <w:rPr>
          <w:rFonts w:hint="eastAsia" w:ascii="Times New Roman" w:hAnsi="Times New Roman" w:eastAsia="方正仿宋_GBK" w:cs="方正仿宋_GBK"/>
          <w:color w:val="auto"/>
          <w:kern w:val="2"/>
          <w:sz w:val="33"/>
          <w:szCs w:val="33"/>
          <w:highlight w:val="none"/>
          <w:lang w:val="en-US"/>
        </w:rPr>
        <w:t>万元，完成预算</w:t>
      </w:r>
      <w:r>
        <w:rPr>
          <w:rFonts w:hint="eastAsia" w:ascii="Times New Roman" w:hAnsi="Times New Roman" w:eastAsia="方正仿宋_GBK" w:cs="方正仿宋_GBK"/>
          <w:color w:val="auto"/>
          <w:kern w:val="2"/>
          <w:sz w:val="33"/>
          <w:szCs w:val="33"/>
          <w:highlight w:val="none"/>
          <w:lang w:val="en-US" w:eastAsia="zh-CN" w:bidi="ar-SA"/>
        </w:rPr>
        <w:t>107.06%</w:t>
      </w:r>
      <w:r>
        <w:rPr>
          <w:rFonts w:hint="eastAsia" w:ascii="Times New Roman" w:hAnsi="Times New Roman" w:eastAsia="方正仿宋_GBK" w:cs="方正仿宋_GBK"/>
          <w:color w:val="auto"/>
          <w:kern w:val="2"/>
          <w:sz w:val="33"/>
          <w:szCs w:val="33"/>
          <w:highlight w:val="none"/>
          <w:lang w:val="en-US"/>
        </w:rPr>
        <w:t>，决算数</w:t>
      </w:r>
      <w:r>
        <w:rPr>
          <w:rFonts w:hint="eastAsia" w:ascii="Times New Roman" w:hAnsi="Times New Roman" w:eastAsia="方正仿宋_GBK" w:cs="方正仿宋_GBK"/>
          <w:color w:val="auto"/>
          <w:kern w:val="2"/>
          <w:sz w:val="33"/>
          <w:szCs w:val="33"/>
          <w:highlight w:val="none"/>
          <w:lang w:val="en-US" w:eastAsia="zh-CN"/>
        </w:rPr>
        <w:t>大于</w:t>
      </w:r>
      <w:r>
        <w:rPr>
          <w:rFonts w:hint="eastAsia" w:ascii="Times New Roman" w:hAnsi="Times New Roman" w:eastAsia="方正仿宋_GBK" w:cs="方正仿宋_GBK"/>
          <w:color w:val="auto"/>
          <w:kern w:val="2"/>
          <w:sz w:val="33"/>
          <w:szCs w:val="33"/>
          <w:highlight w:val="none"/>
          <w:lang w:val="en-US"/>
        </w:rPr>
        <w:t>预算数</w:t>
      </w:r>
      <w:r>
        <w:rPr>
          <w:rFonts w:hint="eastAsia" w:ascii="Times New Roman" w:hAnsi="Times New Roman" w:eastAsia="方正仿宋_GBK" w:cs="方正仿宋_GBK"/>
          <w:color w:val="auto"/>
          <w:kern w:val="2"/>
          <w:sz w:val="33"/>
          <w:szCs w:val="33"/>
          <w:highlight w:val="none"/>
          <w:lang w:val="en-US" w:eastAsia="zh-CN"/>
        </w:rPr>
        <w:t>主要原因是列支上年财务管理专项经费和基层党组织建设经费结转资金</w:t>
      </w:r>
      <w:r>
        <w:rPr>
          <w:rFonts w:hint="eastAsia" w:ascii="Times New Roman" w:hAnsi="Times New Roman" w:eastAsia="方正仿宋_GBK" w:cs="方正仿宋_GBK"/>
          <w:color w:val="auto"/>
          <w:kern w:val="2"/>
          <w:sz w:val="33"/>
          <w:szCs w:val="33"/>
          <w:highlight w:val="none"/>
          <w:lang w:val="en-US"/>
        </w:rPr>
        <w:t>。</w:t>
      </w:r>
    </w:p>
    <w:p w14:paraId="525A7AF2">
      <w:pPr>
        <w:keepNext/>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4.</w:t>
      </w:r>
      <w:r>
        <w:rPr>
          <w:rFonts w:hint="eastAsia" w:ascii="Times New Roman" w:hAnsi="Times New Roman" w:eastAsia="方正仿宋_GBK" w:cs="方正仿宋_GBK"/>
          <w:b/>
          <w:color w:val="000000"/>
          <w:kern w:val="2"/>
          <w:sz w:val="33"/>
          <w:szCs w:val="33"/>
          <w:highlight w:val="none"/>
          <w:lang w:val="en-US"/>
        </w:rPr>
        <w:t>一般公共服务支出（类）</w:t>
      </w:r>
      <w:r>
        <w:rPr>
          <w:rFonts w:hint="eastAsia" w:ascii="Times New Roman" w:hAnsi="Times New Roman" w:eastAsia="方正仿宋_GBK" w:cs="方正仿宋_GBK"/>
          <w:b/>
          <w:color w:val="000000"/>
          <w:kern w:val="2"/>
          <w:sz w:val="33"/>
          <w:szCs w:val="33"/>
          <w:highlight w:val="none"/>
          <w:lang w:val="en-US" w:eastAsia="zh-CN"/>
        </w:rPr>
        <w:t>组织事务</w:t>
      </w:r>
      <w:r>
        <w:rPr>
          <w:rFonts w:hint="eastAsia" w:ascii="Times New Roman" w:hAnsi="Times New Roman" w:eastAsia="方正仿宋_GBK" w:cs="方正仿宋_GBK"/>
          <w:b/>
          <w:color w:val="000000"/>
          <w:kern w:val="2"/>
          <w:sz w:val="33"/>
          <w:szCs w:val="33"/>
          <w:highlight w:val="none"/>
          <w:lang w:val="en-US"/>
        </w:rPr>
        <w:t>（款）</w:t>
      </w:r>
      <w:r>
        <w:rPr>
          <w:rFonts w:hint="eastAsia" w:ascii="Times New Roman" w:hAnsi="Times New Roman" w:eastAsia="方正仿宋_GBK" w:cs="方正仿宋_GBK"/>
          <w:b/>
          <w:color w:val="000000"/>
          <w:kern w:val="2"/>
          <w:sz w:val="33"/>
          <w:szCs w:val="33"/>
          <w:highlight w:val="none"/>
          <w:lang w:val="en-US" w:eastAsia="zh-CN"/>
        </w:rPr>
        <w:t>其他组织事务支出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18.2</w:t>
      </w:r>
      <w:r>
        <w:rPr>
          <w:rFonts w:hint="eastAsia" w:ascii="Times New Roman" w:hAnsi="Times New Roman" w:eastAsia="方正仿宋_GBK" w:cs="方正仿宋_GBK"/>
          <w:color w:val="auto"/>
          <w:kern w:val="2"/>
          <w:sz w:val="33"/>
          <w:szCs w:val="33"/>
          <w:highlight w:val="none"/>
          <w:lang w:val="en-US"/>
        </w:rPr>
        <w:t>万元，完成预算</w:t>
      </w:r>
      <w:r>
        <w:rPr>
          <w:rFonts w:hint="eastAsia" w:ascii="Times New Roman" w:hAnsi="Times New Roman" w:eastAsia="方正仿宋_GBK" w:cs="方正仿宋_GBK"/>
          <w:color w:val="auto"/>
          <w:kern w:val="2"/>
          <w:sz w:val="33"/>
          <w:szCs w:val="33"/>
          <w:highlight w:val="none"/>
          <w:lang w:val="en-US" w:eastAsia="zh-CN" w:bidi="ar-SA"/>
        </w:rPr>
        <w:t>100%</w:t>
      </w:r>
      <w:r>
        <w:rPr>
          <w:rFonts w:hint="eastAsia" w:ascii="Times New Roman" w:hAnsi="Times New Roman" w:eastAsia="方正仿宋_GBK" w:cs="方正仿宋_GBK"/>
          <w:color w:val="auto"/>
          <w:kern w:val="2"/>
          <w:sz w:val="33"/>
          <w:szCs w:val="33"/>
          <w:highlight w:val="none"/>
          <w:lang w:val="en-US"/>
        </w:rPr>
        <w:t>，决算数</w:t>
      </w:r>
      <w:r>
        <w:rPr>
          <w:rFonts w:hint="eastAsia" w:ascii="Times New Roman" w:hAnsi="Times New Roman" w:eastAsia="方正仿宋_GBK" w:cs="方正仿宋_GBK"/>
          <w:color w:val="auto"/>
          <w:kern w:val="2"/>
          <w:sz w:val="33"/>
          <w:szCs w:val="33"/>
          <w:highlight w:val="none"/>
          <w:lang w:val="en-US" w:eastAsia="zh-CN"/>
        </w:rPr>
        <w:t>等于</w:t>
      </w:r>
      <w:r>
        <w:rPr>
          <w:rFonts w:hint="eastAsia" w:ascii="Times New Roman" w:hAnsi="Times New Roman" w:eastAsia="方正仿宋_GBK" w:cs="方正仿宋_GBK"/>
          <w:color w:val="auto"/>
          <w:kern w:val="2"/>
          <w:sz w:val="33"/>
          <w:szCs w:val="33"/>
          <w:highlight w:val="none"/>
          <w:lang w:val="en-US"/>
        </w:rPr>
        <w:t>预算数。</w:t>
      </w:r>
    </w:p>
    <w:p w14:paraId="65133E65">
      <w:pPr>
        <w:keepNext/>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5.</w:t>
      </w:r>
      <w:r>
        <w:rPr>
          <w:rFonts w:hint="eastAsia" w:ascii="Times New Roman" w:hAnsi="Times New Roman" w:eastAsia="方正仿宋_GBK" w:cs="方正仿宋_GBK"/>
          <w:b/>
          <w:color w:val="000000"/>
          <w:kern w:val="2"/>
          <w:sz w:val="33"/>
          <w:szCs w:val="33"/>
          <w:highlight w:val="none"/>
          <w:lang w:val="en-US"/>
        </w:rPr>
        <w:t>社会保障和就业支出（类）行政事业单位养老支出（款）</w:t>
      </w:r>
      <w:r>
        <w:rPr>
          <w:rFonts w:hint="eastAsia" w:ascii="Times New Roman" w:hAnsi="Times New Roman" w:eastAsia="方正仿宋_GBK" w:cs="方正仿宋_GBK"/>
          <w:b/>
          <w:color w:val="000000"/>
          <w:kern w:val="2"/>
          <w:sz w:val="33"/>
          <w:szCs w:val="33"/>
          <w:highlight w:val="none"/>
          <w:lang w:val="en-US" w:eastAsia="zh-CN"/>
        </w:rPr>
        <w:t>机关事业单位基本养老保险缴费支出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90.98</w:t>
      </w:r>
      <w:r>
        <w:rPr>
          <w:rFonts w:hint="eastAsia" w:ascii="Times New Roman" w:hAnsi="Times New Roman" w:eastAsia="方正仿宋_GBK" w:cs="方正仿宋_GBK"/>
          <w:color w:val="auto"/>
          <w:kern w:val="2"/>
          <w:sz w:val="33"/>
          <w:szCs w:val="33"/>
          <w:highlight w:val="none"/>
          <w:lang w:val="en-US"/>
        </w:rPr>
        <w:t>万元，完成预算</w:t>
      </w:r>
      <w:r>
        <w:rPr>
          <w:rFonts w:hint="eastAsia" w:ascii="Times New Roman" w:hAnsi="Times New Roman" w:eastAsia="方正仿宋_GBK" w:cs="方正仿宋_GBK"/>
          <w:color w:val="auto"/>
          <w:kern w:val="2"/>
          <w:sz w:val="33"/>
          <w:szCs w:val="33"/>
          <w:highlight w:val="none"/>
          <w:lang w:val="en-US" w:eastAsia="zh-CN" w:bidi="ar-SA"/>
        </w:rPr>
        <w:t>119.45%</w:t>
      </w:r>
      <w:r>
        <w:rPr>
          <w:rFonts w:hint="eastAsia" w:ascii="Times New Roman" w:hAnsi="Times New Roman" w:eastAsia="方正仿宋_GBK" w:cs="方正仿宋_GBK"/>
          <w:color w:val="auto"/>
          <w:kern w:val="2"/>
          <w:sz w:val="33"/>
          <w:szCs w:val="33"/>
          <w:highlight w:val="none"/>
          <w:lang w:val="en-US"/>
        </w:rPr>
        <w:t>，决算数</w:t>
      </w:r>
      <w:r>
        <w:rPr>
          <w:rFonts w:hint="eastAsia" w:ascii="Times New Roman" w:hAnsi="Times New Roman" w:eastAsia="方正仿宋_GBK" w:cs="方正仿宋_GBK"/>
          <w:color w:val="auto"/>
          <w:kern w:val="2"/>
          <w:sz w:val="33"/>
          <w:szCs w:val="33"/>
          <w:highlight w:val="none"/>
          <w:lang w:val="en-US" w:eastAsia="zh-CN"/>
        </w:rPr>
        <w:t>大于</w:t>
      </w:r>
      <w:r>
        <w:rPr>
          <w:rFonts w:hint="eastAsia" w:ascii="Times New Roman" w:hAnsi="Times New Roman" w:eastAsia="方正仿宋_GBK" w:cs="方正仿宋_GBK"/>
          <w:color w:val="auto"/>
          <w:kern w:val="2"/>
          <w:sz w:val="33"/>
          <w:szCs w:val="33"/>
          <w:highlight w:val="none"/>
          <w:lang w:val="en-US"/>
        </w:rPr>
        <w:t>预算数</w:t>
      </w:r>
      <w:r>
        <w:rPr>
          <w:rFonts w:hint="eastAsia" w:ascii="Times New Roman" w:hAnsi="Times New Roman" w:eastAsia="方正仿宋_GBK" w:cs="方正仿宋_GBK"/>
          <w:color w:val="auto"/>
          <w:kern w:val="2"/>
          <w:sz w:val="33"/>
          <w:szCs w:val="33"/>
          <w:highlight w:val="none"/>
          <w:lang w:val="en-US" w:eastAsia="zh-CN"/>
        </w:rPr>
        <w:t>主要原因是列支</w:t>
      </w:r>
      <w:r>
        <w:rPr>
          <w:rFonts w:hint="eastAsia" w:ascii="Times New Roman" w:hAnsi="Times New Roman" w:eastAsia="方正仿宋_GBK" w:cs="方正仿宋_GBK"/>
          <w:color w:val="auto"/>
          <w:kern w:val="2"/>
          <w:sz w:val="33"/>
          <w:szCs w:val="33"/>
          <w:highlight w:val="none"/>
          <w:lang w:val="en-US" w:eastAsia="zh-CN" w:bidi="ar-SA"/>
        </w:rPr>
        <w:t>2023</w:t>
      </w:r>
      <w:r>
        <w:rPr>
          <w:rFonts w:hint="eastAsia" w:ascii="Times New Roman" w:hAnsi="Times New Roman" w:eastAsia="方正仿宋_GBK" w:cs="方正仿宋_GBK"/>
          <w:color w:val="auto"/>
          <w:kern w:val="2"/>
          <w:sz w:val="33"/>
          <w:szCs w:val="33"/>
          <w:highlight w:val="none"/>
          <w:lang w:val="en-US" w:eastAsia="zh-CN"/>
        </w:rPr>
        <w:t>年</w:t>
      </w:r>
      <w:r>
        <w:rPr>
          <w:rFonts w:hint="eastAsia" w:ascii="Times New Roman" w:hAnsi="Times New Roman" w:eastAsia="方正仿宋_GBK" w:cs="方正仿宋_GBK"/>
          <w:color w:val="auto"/>
          <w:kern w:val="2"/>
          <w:sz w:val="33"/>
          <w:szCs w:val="33"/>
          <w:highlight w:val="none"/>
          <w:lang w:val="en-US" w:eastAsia="zh-CN" w:bidi="ar-SA"/>
        </w:rPr>
        <w:t>12</w:t>
      </w:r>
      <w:r>
        <w:rPr>
          <w:rFonts w:hint="eastAsia" w:ascii="Times New Roman" w:hAnsi="Times New Roman" w:eastAsia="方正仿宋_GBK" w:cs="方正仿宋_GBK"/>
          <w:color w:val="auto"/>
          <w:kern w:val="2"/>
          <w:sz w:val="33"/>
          <w:szCs w:val="33"/>
          <w:highlight w:val="none"/>
          <w:lang w:val="en-US" w:eastAsia="zh-CN"/>
        </w:rPr>
        <w:t>月养老保险</w:t>
      </w:r>
      <w:r>
        <w:rPr>
          <w:rFonts w:hint="eastAsia" w:ascii="Times New Roman" w:hAnsi="Times New Roman" w:eastAsia="方正仿宋_GBK" w:cs="方正仿宋_GBK"/>
          <w:color w:val="auto"/>
          <w:kern w:val="2"/>
          <w:sz w:val="33"/>
          <w:szCs w:val="33"/>
          <w:highlight w:val="none"/>
          <w:lang w:val="en-US"/>
        </w:rPr>
        <w:t>。</w:t>
      </w:r>
    </w:p>
    <w:p w14:paraId="0AE5B6A2">
      <w:pPr>
        <w:keepNext/>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6.</w:t>
      </w:r>
      <w:r>
        <w:rPr>
          <w:rFonts w:hint="eastAsia" w:ascii="Times New Roman" w:hAnsi="Times New Roman" w:eastAsia="方正仿宋_GBK" w:cs="方正仿宋_GBK"/>
          <w:b/>
          <w:color w:val="000000"/>
          <w:kern w:val="2"/>
          <w:sz w:val="33"/>
          <w:szCs w:val="33"/>
          <w:highlight w:val="none"/>
          <w:lang w:val="en-US"/>
        </w:rPr>
        <w:t>社会保障和就业支出（类）行政事业单位养老支出（款）</w:t>
      </w:r>
      <w:r>
        <w:rPr>
          <w:rFonts w:hint="eastAsia" w:ascii="Times New Roman" w:hAnsi="Times New Roman" w:eastAsia="方正仿宋_GBK" w:cs="方正仿宋_GBK"/>
          <w:b/>
          <w:color w:val="000000"/>
          <w:kern w:val="2"/>
          <w:sz w:val="33"/>
          <w:szCs w:val="33"/>
          <w:highlight w:val="none"/>
          <w:lang w:val="en-US" w:eastAsia="zh-CN"/>
        </w:rPr>
        <w:t>机关事业单位职业年金缴费支出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5.7</w:t>
      </w:r>
      <w:r>
        <w:rPr>
          <w:rFonts w:hint="eastAsia" w:ascii="Times New Roman" w:hAnsi="Times New Roman" w:eastAsia="方正仿宋_GBK" w:cs="方正仿宋_GBK"/>
          <w:color w:val="auto"/>
          <w:kern w:val="2"/>
          <w:sz w:val="33"/>
          <w:szCs w:val="33"/>
          <w:highlight w:val="none"/>
          <w:lang w:val="en-US"/>
        </w:rPr>
        <w:t>万元，</w:t>
      </w:r>
      <w:r>
        <w:rPr>
          <w:rFonts w:hint="eastAsia" w:ascii="Times New Roman" w:hAnsi="Times New Roman" w:eastAsia="方正仿宋_GBK" w:cs="方正仿宋_GBK"/>
          <w:color w:val="auto"/>
          <w:spacing w:val="-6"/>
          <w:kern w:val="2"/>
          <w:sz w:val="33"/>
          <w:szCs w:val="33"/>
          <w:highlight w:val="none"/>
          <w:lang w:val="en-US"/>
        </w:rPr>
        <w:t>决算数</w:t>
      </w:r>
      <w:r>
        <w:rPr>
          <w:rFonts w:hint="eastAsia" w:ascii="Times New Roman" w:hAnsi="Times New Roman" w:eastAsia="方正仿宋_GBK" w:cs="方正仿宋_GBK"/>
          <w:color w:val="auto"/>
          <w:spacing w:val="-6"/>
          <w:kern w:val="2"/>
          <w:sz w:val="33"/>
          <w:szCs w:val="33"/>
          <w:highlight w:val="none"/>
          <w:lang w:val="en-US" w:eastAsia="zh-CN"/>
        </w:rPr>
        <w:t>大于</w:t>
      </w:r>
      <w:r>
        <w:rPr>
          <w:rFonts w:hint="eastAsia" w:ascii="Times New Roman" w:hAnsi="Times New Roman" w:eastAsia="方正仿宋_GBK" w:cs="方正仿宋_GBK"/>
          <w:color w:val="auto"/>
          <w:spacing w:val="-6"/>
          <w:kern w:val="2"/>
          <w:sz w:val="33"/>
          <w:szCs w:val="33"/>
          <w:highlight w:val="none"/>
          <w:lang w:val="en-US"/>
        </w:rPr>
        <w:t>预算数</w:t>
      </w:r>
      <w:r>
        <w:rPr>
          <w:rFonts w:hint="eastAsia" w:ascii="Times New Roman" w:hAnsi="Times New Roman" w:eastAsia="方正仿宋_GBK" w:cs="方正仿宋_GBK"/>
          <w:color w:val="auto"/>
          <w:spacing w:val="-6"/>
          <w:kern w:val="2"/>
          <w:sz w:val="33"/>
          <w:szCs w:val="33"/>
          <w:highlight w:val="none"/>
          <w:lang w:val="en-US" w:eastAsia="zh-CN"/>
        </w:rPr>
        <w:t>主要原因是</w:t>
      </w:r>
      <w:r>
        <w:rPr>
          <w:rFonts w:hint="eastAsia" w:ascii="Times New Roman" w:hAnsi="Times New Roman" w:eastAsia="方正仿宋_GBK" w:cs="方正仿宋_GBK"/>
          <w:color w:val="auto"/>
          <w:spacing w:val="-6"/>
          <w:kern w:val="2"/>
          <w:sz w:val="33"/>
          <w:szCs w:val="33"/>
          <w:highlight w:val="none"/>
          <w:lang w:val="en-US" w:eastAsia="zh-CN" w:bidi="ar-SA"/>
        </w:rPr>
        <w:t>2023</w:t>
      </w:r>
      <w:r>
        <w:rPr>
          <w:rFonts w:hint="eastAsia" w:ascii="Times New Roman" w:hAnsi="Times New Roman" w:eastAsia="方正仿宋_GBK" w:cs="方正仿宋_GBK"/>
          <w:color w:val="auto"/>
          <w:spacing w:val="-6"/>
          <w:kern w:val="2"/>
          <w:sz w:val="33"/>
          <w:szCs w:val="33"/>
          <w:highlight w:val="none"/>
          <w:lang w:val="en-US" w:eastAsia="zh-CN"/>
        </w:rPr>
        <w:t>年</w:t>
      </w:r>
      <w:r>
        <w:rPr>
          <w:rFonts w:hint="eastAsia" w:ascii="Times New Roman" w:hAnsi="Times New Roman" w:eastAsia="方正仿宋_GBK" w:cs="方正仿宋_GBK"/>
          <w:color w:val="auto"/>
          <w:spacing w:val="-6"/>
          <w:kern w:val="2"/>
          <w:sz w:val="33"/>
          <w:szCs w:val="33"/>
          <w:highlight w:val="none"/>
          <w:lang w:val="en-US" w:eastAsia="zh-CN" w:bidi="ar-SA"/>
        </w:rPr>
        <w:t>12</w:t>
      </w:r>
      <w:r>
        <w:rPr>
          <w:rFonts w:hint="eastAsia" w:ascii="Times New Roman" w:hAnsi="Times New Roman" w:eastAsia="方正仿宋_GBK" w:cs="方正仿宋_GBK"/>
          <w:color w:val="auto"/>
          <w:spacing w:val="-6"/>
          <w:kern w:val="2"/>
          <w:sz w:val="33"/>
          <w:szCs w:val="33"/>
          <w:highlight w:val="none"/>
          <w:lang w:val="en-US" w:eastAsia="zh-CN"/>
        </w:rPr>
        <w:t>月职业年金记实未划转</w:t>
      </w:r>
      <w:r>
        <w:rPr>
          <w:rFonts w:hint="eastAsia" w:ascii="Times New Roman" w:hAnsi="Times New Roman" w:eastAsia="方正仿宋_GBK" w:cs="方正仿宋_GBK"/>
          <w:color w:val="auto"/>
          <w:spacing w:val="-6"/>
          <w:kern w:val="2"/>
          <w:sz w:val="33"/>
          <w:szCs w:val="33"/>
          <w:highlight w:val="none"/>
          <w:lang w:val="en-US"/>
        </w:rPr>
        <w:t>。</w:t>
      </w:r>
    </w:p>
    <w:p w14:paraId="3470C0D3">
      <w:pPr>
        <w:keepNext/>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7.</w:t>
      </w:r>
      <w:r>
        <w:rPr>
          <w:rFonts w:hint="eastAsia" w:ascii="Times New Roman" w:hAnsi="Times New Roman" w:eastAsia="方正仿宋_GBK" w:cs="方正仿宋_GBK"/>
          <w:b/>
          <w:color w:val="000000"/>
          <w:kern w:val="2"/>
          <w:sz w:val="33"/>
          <w:szCs w:val="33"/>
          <w:highlight w:val="none"/>
          <w:lang w:val="en-US"/>
        </w:rPr>
        <w:t>社会保障和就业支出（类）其他社会保障和就业支出（款）</w:t>
      </w:r>
      <w:r>
        <w:rPr>
          <w:rFonts w:hint="eastAsia" w:ascii="Times New Roman" w:hAnsi="Times New Roman" w:eastAsia="方正仿宋_GBK" w:cs="方正仿宋_GBK"/>
          <w:b/>
          <w:color w:val="000000"/>
          <w:kern w:val="2"/>
          <w:sz w:val="33"/>
          <w:szCs w:val="33"/>
          <w:highlight w:val="none"/>
          <w:lang w:val="en-US" w:eastAsia="zh-CN"/>
        </w:rPr>
        <w:t>其他社会保障和就业支出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3.5</w:t>
      </w:r>
      <w:r>
        <w:rPr>
          <w:rFonts w:hint="eastAsia" w:ascii="Times New Roman" w:hAnsi="Times New Roman" w:eastAsia="方正仿宋_GBK" w:cs="方正仿宋_GBK"/>
          <w:color w:val="auto"/>
          <w:kern w:val="2"/>
          <w:sz w:val="33"/>
          <w:szCs w:val="33"/>
          <w:highlight w:val="none"/>
          <w:lang w:val="en-US"/>
        </w:rPr>
        <w:t>万元，完成预算</w:t>
      </w:r>
      <w:r>
        <w:rPr>
          <w:rFonts w:hint="eastAsia" w:ascii="Times New Roman" w:hAnsi="Times New Roman" w:eastAsia="方正仿宋_GBK" w:cs="方正仿宋_GBK"/>
          <w:color w:val="auto"/>
          <w:kern w:val="2"/>
          <w:sz w:val="33"/>
          <w:szCs w:val="33"/>
          <w:highlight w:val="none"/>
          <w:lang w:val="en-US" w:eastAsia="zh-CN" w:bidi="ar-SA"/>
        </w:rPr>
        <w:t>100%</w:t>
      </w:r>
      <w:r>
        <w:rPr>
          <w:rFonts w:hint="eastAsia" w:ascii="Times New Roman" w:hAnsi="Times New Roman" w:eastAsia="方正仿宋_GBK" w:cs="方正仿宋_GBK"/>
          <w:color w:val="auto"/>
          <w:kern w:val="2"/>
          <w:sz w:val="33"/>
          <w:szCs w:val="33"/>
          <w:highlight w:val="none"/>
          <w:lang w:val="en-US"/>
        </w:rPr>
        <w:t>，决算数</w:t>
      </w:r>
      <w:r>
        <w:rPr>
          <w:rFonts w:hint="eastAsia" w:ascii="Times New Roman" w:hAnsi="Times New Roman" w:eastAsia="方正仿宋_GBK" w:cs="方正仿宋_GBK"/>
          <w:color w:val="auto"/>
          <w:kern w:val="2"/>
          <w:sz w:val="33"/>
          <w:szCs w:val="33"/>
          <w:highlight w:val="none"/>
          <w:lang w:val="en-US" w:eastAsia="zh-CN"/>
        </w:rPr>
        <w:t>等于</w:t>
      </w:r>
      <w:r>
        <w:rPr>
          <w:rFonts w:hint="eastAsia" w:ascii="Times New Roman" w:hAnsi="Times New Roman" w:eastAsia="方正仿宋_GBK" w:cs="方正仿宋_GBK"/>
          <w:color w:val="auto"/>
          <w:kern w:val="2"/>
          <w:sz w:val="33"/>
          <w:szCs w:val="33"/>
          <w:highlight w:val="none"/>
          <w:lang w:val="en-US"/>
        </w:rPr>
        <w:t>预算数。</w:t>
      </w:r>
      <w:r>
        <w:rPr>
          <w:rFonts w:hint="eastAsia" w:ascii="Times New Roman" w:hAnsi="Times New Roman" w:eastAsia="方正仿宋_GBK" w:cs="方正仿宋_GBK"/>
          <w:b/>
          <w:color w:val="000000"/>
          <w:kern w:val="2"/>
          <w:sz w:val="33"/>
          <w:szCs w:val="33"/>
          <w:highlight w:val="none"/>
          <w:lang w:val="en-US" w:eastAsia="zh-CN"/>
        </w:rPr>
        <w:t>8.</w:t>
      </w:r>
      <w:r>
        <w:rPr>
          <w:rFonts w:hint="eastAsia" w:ascii="Times New Roman" w:hAnsi="Times New Roman" w:eastAsia="方正仿宋_GBK" w:cs="方正仿宋_GBK"/>
          <w:b/>
          <w:color w:val="000000"/>
          <w:kern w:val="2"/>
          <w:sz w:val="33"/>
          <w:szCs w:val="33"/>
          <w:highlight w:val="none"/>
          <w:lang w:val="en-US"/>
        </w:rPr>
        <w:t>卫生健康支出（类）行政事业单位医疗（款）</w:t>
      </w:r>
      <w:r>
        <w:rPr>
          <w:rFonts w:hint="eastAsia" w:ascii="Times New Roman" w:hAnsi="Times New Roman" w:eastAsia="方正仿宋_GBK" w:cs="方正仿宋_GBK"/>
          <w:b/>
          <w:color w:val="000000"/>
          <w:kern w:val="2"/>
          <w:sz w:val="33"/>
          <w:szCs w:val="33"/>
          <w:highlight w:val="none"/>
          <w:lang w:val="en-US" w:eastAsia="zh-CN"/>
        </w:rPr>
        <w:t>行政单位医疗</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12.56</w:t>
      </w:r>
      <w:r>
        <w:rPr>
          <w:rFonts w:hint="eastAsia" w:ascii="Times New Roman" w:hAnsi="Times New Roman" w:eastAsia="方正仿宋_GBK" w:cs="方正仿宋_GBK"/>
          <w:color w:val="auto"/>
          <w:kern w:val="2"/>
          <w:sz w:val="33"/>
          <w:szCs w:val="33"/>
          <w:highlight w:val="none"/>
          <w:lang w:val="en-US"/>
        </w:rPr>
        <w:t>万元，完成预算</w:t>
      </w:r>
      <w:r>
        <w:rPr>
          <w:rFonts w:hint="eastAsia" w:ascii="Times New Roman" w:hAnsi="Times New Roman" w:eastAsia="方正仿宋_GBK" w:cs="方正仿宋_GBK"/>
          <w:color w:val="auto"/>
          <w:kern w:val="2"/>
          <w:sz w:val="33"/>
          <w:szCs w:val="33"/>
          <w:highlight w:val="none"/>
          <w:lang w:val="en-US" w:eastAsia="zh-CN" w:bidi="ar-SA"/>
        </w:rPr>
        <w:t>121.53%</w:t>
      </w:r>
      <w:r>
        <w:rPr>
          <w:rFonts w:hint="eastAsia" w:ascii="Times New Roman" w:hAnsi="Times New Roman" w:eastAsia="方正仿宋_GBK" w:cs="方正仿宋_GBK"/>
          <w:color w:val="auto"/>
          <w:kern w:val="2"/>
          <w:sz w:val="33"/>
          <w:szCs w:val="33"/>
          <w:highlight w:val="none"/>
          <w:lang w:val="en-US"/>
        </w:rPr>
        <w:t>，决算数</w:t>
      </w:r>
      <w:r>
        <w:rPr>
          <w:rFonts w:hint="eastAsia" w:ascii="Times New Roman" w:hAnsi="Times New Roman" w:eastAsia="方正仿宋_GBK" w:cs="方正仿宋_GBK"/>
          <w:color w:val="auto"/>
          <w:kern w:val="2"/>
          <w:sz w:val="33"/>
          <w:szCs w:val="33"/>
          <w:highlight w:val="none"/>
          <w:lang w:val="en-US" w:eastAsia="zh-CN"/>
        </w:rPr>
        <w:t>大于</w:t>
      </w:r>
      <w:r>
        <w:rPr>
          <w:rFonts w:hint="eastAsia" w:ascii="Times New Roman" w:hAnsi="Times New Roman" w:eastAsia="方正仿宋_GBK" w:cs="方正仿宋_GBK"/>
          <w:color w:val="auto"/>
          <w:kern w:val="2"/>
          <w:sz w:val="33"/>
          <w:szCs w:val="33"/>
          <w:highlight w:val="none"/>
          <w:lang w:val="en-US"/>
        </w:rPr>
        <w:t>预算数</w:t>
      </w:r>
      <w:r>
        <w:rPr>
          <w:rFonts w:hint="eastAsia" w:ascii="Times New Roman" w:hAnsi="Times New Roman" w:eastAsia="方正仿宋_GBK" w:cs="方正仿宋_GBK"/>
          <w:color w:val="auto"/>
          <w:kern w:val="2"/>
          <w:sz w:val="33"/>
          <w:szCs w:val="33"/>
          <w:highlight w:val="none"/>
          <w:lang w:val="en-US" w:eastAsia="zh-CN"/>
        </w:rPr>
        <w:t>主要原因是</w:t>
      </w:r>
      <w:r>
        <w:rPr>
          <w:rFonts w:hint="eastAsia" w:ascii="Times New Roman" w:hAnsi="Times New Roman" w:eastAsia="方正仿宋_GBK" w:cs="方正仿宋_GBK"/>
          <w:color w:val="auto"/>
          <w:kern w:val="2"/>
          <w:sz w:val="33"/>
          <w:szCs w:val="33"/>
          <w:highlight w:val="none"/>
          <w:lang w:val="en-US" w:eastAsia="zh-CN" w:bidi="ar-SA"/>
        </w:rPr>
        <w:t>2023</w:t>
      </w:r>
      <w:r>
        <w:rPr>
          <w:rFonts w:hint="eastAsia" w:ascii="Times New Roman" w:hAnsi="Times New Roman" w:eastAsia="方正仿宋_GBK" w:cs="方正仿宋_GBK"/>
          <w:color w:val="auto"/>
          <w:kern w:val="2"/>
          <w:sz w:val="33"/>
          <w:szCs w:val="33"/>
          <w:highlight w:val="none"/>
          <w:lang w:val="en-US" w:eastAsia="zh-CN"/>
        </w:rPr>
        <w:t>年</w:t>
      </w:r>
      <w:r>
        <w:rPr>
          <w:rFonts w:hint="eastAsia" w:ascii="Times New Roman" w:hAnsi="Times New Roman" w:eastAsia="方正仿宋_GBK" w:cs="方正仿宋_GBK"/>
          <w:color w:val="auto"/>
          <w:kern w:val="2"/>
          <w:sz w:val="33"/>
          <w:szCs w:val="33"/>
          <w:highlight w:val="none"/>
          <w:lang w:val="en-US" w:eastAsia="zh-CN" w:bidi="ar-SA"/>
        </w:rPr>
        <w:t>12</w:t>
      </w:r>
      <w:r>
        <w:rPr>
          <w:rFonts w:hint="eastAsia" w:ascii="Times New Roman" w:hAnsi="Times New Roman" w:eastAsia="方正仿宋_GBK" w:cs="方正仿宋_GBK"/>
          <w:color w:val="auto"/>
          <w:kern w:val="2"/>
          <w:sz w:val="33"/>
          <w:szCs w:val="33"/>
          <w:highlight w:val="none"/>
          <w:lang w:val="en-US" w:eastAsia="zh-CN"/>
        </w:rPr>
        <w:t>月医疗保险转账失败退回，</w:t>
      </w:r>
      <w:r>
        <w:rPr>
          <w:rFonts w:hint="eastAsia" w:ascii="Times New Roman" w:hAnsi="Times New Roman" w:eastAsia="方正仿宋_GBK" w:cs="方正仿宋_GBK"/>
          <w:color w:val="auto"/>
          <w:kern w:val="2"/>
          <w:sz w:val="33"/>
          <w:szCs w:val="33"/>
          <w:highlight w:val="none"/>
          <w:lang w:val="en-US" w:eastAsia="zh-CN" w:bidi="ar-SA"/>
        </w:rPr>
        <w:t>2024</w:t>
      </w:r>
      <w:r>
        <w:rPr>
          <w:rFonts w:hint="eastAsia" w:ascii="Times New Roman" w:hAnsi="Times New Roman" w:eastAsia="方正仿宋_GBK" w:cs="方正仿宋_GBK"/>
          <w:color w:val="auto"/>
          <w:kern w:val="2"/>
          <w:sz w:val="33"/>
          <w:szCs w:val="33"/>
          <w:highlight w:val="none"/>
          <w:lang w:val="en-US" w:eastAsia="zh-CN"/>
        </w:rPr>
        <w:t>年列支</w:t>
      </w:r>
      <w:r>
        <w:rPr>
          <w:rFonts w:hint="eastAsia" w:ascii="Times New Roman" w:hAnsi="Times New Roman" w:eastAsia="方正仿宋_GBK" w:cs="方正仿宋_GBK"/>
          <w:color w:val="auto"/>
          <w:kern w:val="2"/>
          <w:sz w:val="33"/>
          <w:szCs w:val="33"/>
          <w:highlight w:val="none"/>
          <w:lang w:val="en-US"/>
        </w:rPr>
        <w:t>。</w:t>
      </w:r>
    </w:p>
    <w:p w14:paraId="19CD796C">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9.</w:t>
      </w:r>
      <w:r>
        <w:rPr>
          <w:rFonts w:hint="eastAsia" w:ascii="Times New Roman" w:hAnsi="Times New Roman" w:eastAsia="方正仿宋_GBK" w:cs="方正仿宋_GBK"/>
          <w:b/>
          <w:color w:val="000000"/>
          <w:kern w:val="2"/>
          <w:sz w:val="33"/>
          <w:szCs w:val="33"/>
          <w:highlight w:val="none"/>
          <w:lang w:val="en-US"/>
        </w:rPr>
        <w:t>卫生健康支出（类）行政事业单位医疗（款）</w:t>
      </w:r>
      <w:r>
        <w:rPr>
          <w:rFonts w:hint="eastAsia" w:ascii="Times New Roman" w:hAnsi="Times New Roman" w:eastAsia="方正仿宋_GBK" w:cs="方正仿宋_GBK"/>
          <w:b/>
          <w:color w:val="000000"/>
          <w:kern w:val="2"/>
          <w:sz w:val="33"/>
          <w:szCs w:val="33"/>
          <w:highlight w:val="none"/>
          <w:lang w:val="en-US" w:eastAsia="zh-CN"/>
        </w:rPr>
        <w:t>事业单位医疗</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11.69</w:t>
      </w:r>
      <w:r>
        <w:rPr>
          <w:rFonts w:hint="eastAsia" w:ascii="Times New Roman" w:hAnsi="Times New Roman" w:eastAsia="方正仿宋_GBK" w:cs="方正仿宋_GBK"/>
          <w:color w:val="auto"/>
          <w:kern w:val="2"/>
          <w:sz w:val="33"/>
          <w:szCs w:val="33"/>
          <w:highlight w:val="none"/>
          <w:lang w:val="en-US"/>
        </w:rPr>
        <w:t>万元，完成预算</w:t>
      </w:r>
      <w:r>
        <w:rPr>
          <w:rFonts w:hint="eastAsia" w:ascii="Times New Roman" w:hAnsi="Times New Roman" w:eastAsia="方正仿宋_GBK" w:cs="方正仿宋_GBK"/>
          <w:color w:val="auto"/>
          <w:kern w:val="2"/>
          <w:sz w:val="33"/>
          <w:szCs w:val="33"/>
          <w:highlight w:val="none"/>
          <w:lang w:val="en-US" w:eastAsia="zh-CN" w:bidi="ar-SA"/>
        </w:rPr>
        <w:t>100%</w:t>
      </w:r>
      <w:r>
        <w:rPr>
          <w:rFonts w:hint="eastAsia" w:ascii="Times New Roman" w:hAnsi="Times New Roman" w:eastAsia="方正仿宋_GBK" w:cs="方正仿宋_GBK"/>
          <w:color w:val="auto"/>
          <w:kern w:val="2"/>
          <w:sz w:val="33"/>
          <w:szCs w:val="33"/>
          <w:highlight w:val="none"/>
          <w:lang w:val="en-US"/>
        </w:rPr>
        <w:t>，决算数</w:t>
      </w:r>
      <w:r>
        <w:rPr>
          <w:rFonts w:hint="eastAsia" w:ascii="Times New Roman" w:hAnsi="Times New Roman" w:eastAsia="方正仿宋_GBK" w:cs="方正仿宋_GBK"/>
          <w:color w:val="auto"/>
          <w:kern w:val="2"/>
          <w:sz w:val="33"/>
          <w:szCs w:val="33"/>
          <w:highlight w:val="none"/>
          <w:lang w:val="en-US" w:eastAsia="zh-CN"/>
        </w:rPr>
        <w:t>等于</w:t>
      </w:r>
      <w:r>
        <w:rPr>
          <w:rFonts w:hint="eastAsia" w:ascii="Times New Roman" w:hAnsi="Times New Roman" w:eastAsia="方正仿宋_GBK" w:cs="方正仿宋_GBK"/>
          <w:color w:val="auto"/>
          <w:kern w:val="2"/>
          <w:sz w:val="33"/>
          <w:szCs w:val="33"/>
          <w:highlight w:val="none"/>
          <w:lang w:val="en-US"/>
        </w:rPr>
        <w:t>预算数。</w:t>
      </w:r>
    </w:p>
    <w:p w14:paraId="69737FA4">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10.</w:t>
      </w:r>
      <w:r>
        <w:rPr>
          <w:rFonts w:hint="eastAsia" w:ascii="Times New Roman" w:hAnsi="Times New Roman" w:eastAsia="方正仿宋_GBK" w:cs="方正仿宋_GBK"/>
          <w:b/>
          <w:color w:val="000000"/>
          <w:kern w:val="2"/>
          <w:sz w:val="33"/>
          <w:szCs w:val="33"/>
          <w:highlight w:val="none"/>
          <w:lang w:val="en-US"/>
        </w:rPr>
        <w:t>卫生健康支出（类）行政事业单位医疗（款）</w:t>
      </w:r>
      <w:r>
        <w:rPr>
          <w:rFonts w:hint="eastAsia" w:ascii="Times New Roman" w:hAnsi="Times New Roman" w:eastAsia="方正仿宋_GBK" w:cs="方正仿宋_GBK"/>
          <w:b/>
          <w:color w:val="000000"/>
          <w:kern w:val="2"/>
          <w:sz w:val="33"/>
          <w:szCs w:val="33"/>
          <w:highlight w:val="none"/>
          <w:lang w:val="en-US" w:eastAsia="zh-CN"/>
        </w:rPr>
        <w:t>公务员医疗补助</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3.07</w:t>
      </w:r>
      <w:r>
        <w:rPr>
          <w:rFonts w:hint="eastAsia" w:ascii="Times New Roman" w:hAnsi="Times New Roman" w:eastAsia="方正仿宋_GBK" w:cs="方正仿宋_GBK"/>
          <w:color w:val="auto"/>
          <w:kern w:val="2"/>
          <w:sz w:val="33"/>
          <w:szCs w:val="33"/>
          <w:highlight w:val="none"/>
          <w:lang w:val="en-US"/>
        </w:rPr>
        <w:t>万元，完成预算</w:t>
      </w:r>
      <w:r>
        <w:rPr>
          <w:rFonts w:hint="eastAsia" w:ascii="Times New Roman" w:hAnsi="Times New Roman" w:eastAsia="方正仿宋_GBK" w:cs="方正仿宋_GBK"/>
          <w:color w:val="auto"/>
          <w:kern w:val="2"/>
          <w:sz w:val="33"/>
          <w:szCs w:val="33"/>
          <w:highlight w:val="none"/>
          <w:lang w:val="en-US" w:eastAsia="zh-CN" w:bidi="ar-SA"/>
        </w:rPr>
        <w:t>100%</w:t>
      </w:r>
      <w:r>
        <w:rPr>
          <w:rFonts w:hint="eastAsia" w:ascii="Times New Roman" w:hAnsi="Times New Roman" w:eastAsia="方正仿宋_GBK" w:cs="方正仿宋_GBK"/>
          <w:color w:val="auto"/>
          <w:kern w:val="2"/>
          <w:sz w:val="33"/>
          <w:szCs w:val="33"/>
          <w:highlight w:val="none"/>
          <w:lang w:val="en-US"/>
        </w:rPr>
        <w:t>，决算数</w:t>
      </w:r>
      <w:r>
        <w:rPr>
          <w:rFonts w:hint="eastAsia" w:ascii="Times New Roman" w:hAnsi="Times New Roman" w:eastAsia="方正仿宋_GBK" w:cs="方正仿宋_GBK"/>
          <w:color w:val="auto"/>
          <w:kern w:val="2"/>
          <w:sz w:val="33"/>
          <w:szCs w:val="33"/>
          <w:highlight w:val="none"/>
          <w:lang w:val="en-US" w:eastAsia="zh-CN"/>
        </w:rPr>
        <w:t>等于</w:t>
      </w:r>
      <w:r>
        <w:rPr>
          <w:rFonts w:hint="eastAsia" w:ascii="Times New Roman" w:hAnsi="Times New Roman" w:eastAsia="方正仿宋_GBK" w:cs="方正仿宋_GBK"/>
          <w:color w:val="auto"/>
          <w:kern w:val="2"/>
          <w:sz w:val="33"/>
          <w:szCs w:val="33"/>
          <w:highlight w:val="none"/>
          <w:lang w:val="en-US"/>
        </w:rPr>
        <w:t>预算数。</w:t>
      </w:r>
    </w:p>
    <w:p w14:paraId="57A837CE">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11.</w:t>
      </w:r>
      <w:r>
        <w:rPr>
          <w:rFonts w:hint="eastAsia" w:ascii="Times New Roman" w:hAnsi="Times New Roman" w:eastAsia="方正仿宋_GBK" w:cs="方正仿宋_GBK"/>
          <w:b/>
          <w:color w:val="000000"/>
          <w:kern w:val="2"/>
          <w:sz w:val="33"/>
          <w:szCs w:val="33"/>
          <w:highlight w:val="none"/>
          <w:lang w:val="en-US"/>
        </w:rPr>
        <w:t>农林水支出（类）</w:t>
      </w:r>
      <w:r>
        <w:rPr>
          <w:rFonts w:hint="eastAsia" w:ascii="Times New Roman" w:hAnsi="Times New Roman" w:eastAsia="方正仿宋_GBK" w:cs="方正仿宋_GBK"/>
          <w:b/>
          <w:color w:val="000000"/>
          <w:kern w:val="2"/>
          <w:sz w:val="33"/>
          <w:szCs w:val="33"/>
          <w:highlight w:val="none"/>
          <w:lang w:val="en-US" w:eastAsia="zh-CN"/>
        </w:rPr>
        <w:t>巩固脱贫攻坚成果衔接乡村振兴</w:t>
      </w:r>
      <w:r>
        <w:rPr>
          <w:rFonts w:hint="eastAsia" w:ascii="Times New Roman" w:hAnsi="Times New Roman" w:eastAsia="方正仿宋_GBK" w:cs="方正仿宋_GBK"/>
          <w:b/>
          <w:color w:val="000000"/>
          <w:kern w:val="2"/>
          <w:sz w:val="33"/>
          <w:szCs w:val="33"/>
          <w:highlight w:val="none"/>
          <w:lang w:val="en-US"/>
        </w:rPr>
        <w:t>（款）</w:t>
      </w:r>
      <w:r>
        <w:rPr>
          <w:rFonts w:hint="eastAsia" w:ascii="Times New Roman" w:hAnsi="Times New Roman" w:eastAsia="方正仿宋_GBK" w:cs="方正仿宋_GBK"/>
          <w:b/>
          <w:color w:val="000000"/>
          <w:kern w:val="2"/>
          <w:sz w:val="33"/>
          <w:szCs w:val="33"/>
          <w:highlight w:val="none"/>
          <w:lang w:val="en-US" w:eastAsia="zh-CN"/>
        </w:rPr>
        <w:t>其他巩固脱贫攻坚成果衔接乡村振兴支出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2.9</w:t>
      </w:r>
      <w:r>
        <w:rPr>
          <w:rFonts w:hint="eastAsia" w:ascii="Times New Roman" w:hAnsi="Times New Roman" w:eastAsia="方正仿宋_GBK" w:cs="方正仿宋_GBK"/>
          <w:color w:val="auto"/>
          <w:kern w:val="2"/>
          <w:sz w:val="33"/>
          <w:szCs w:val="33"/>
          <w:highlight w:val="none"/>
          <w:lang w:val="en-US"/>
        </w:rPr>
        <w:t>万元，完成预算</w:t>
      </w:r>
      <w:r>
        <w:rPr>
          <w:rFonts w:hint="eastAsia" w:ascii="Times New Roman" w:hAnsi="Times New Roman" w:eastAsia="方正仿宋_GBK" w:cs="方正仿宋_GBK"/>
          <w:color w:val="auto"/>
          <w:kern w:val="2"/>
          <w:sz w:val="33"/>
          <w:szCs w:val="33"/>
          <w:highlight w:val="none"/>
          <w:lang w:val="en-US" w:eastAsia="zh-CN" w:bidi="ar-SA"/>
        </w:rPr>
        <w:t>100%</w:t>
      </w:r>
      <w:r>
        <w:rPr>
          <w:rFonts w:hint="eastAsia" w:ascii="Times New Roman" w:hAnsi="Times New Roman" w:eastAsia="方正仿宋_GBK" w:cs="方正仿宋_GBK"/>
          <w:color w:val="auto"/>
          <w:kern w:val="2"/>
          <w:sz w:val="33"/>
          <w:szCs w:val="33"/>
          <w:highlight w:val="none"/>
          <w:lang w:val="en-US"/>
        </w:rPr>
        <w:t>，决算数</w:t>
      </w:r>
      <w:r>
        <w:rPr>
          <w:rFonts w:hint="eastAsia" w:ascii="Times New Roman" w:hAnsi="Times New Roman" w:eastAsia="方正仿宋_GBK" w:cs="方正仿宋_GBK"/>
          <w:color w:val="auto"/>
          <w:kern w:val="2"/>
          <w:sz w:val="33"/>
          <w:szCs w:val="33"/>
          <w:highlight w:val="none"/>
          <w:lang w:val="en-US" w:eastAsia="zh-CN"/>
        </w:rPr>
        <w:t>等于</w:t>
      </w:r>
      <w:r>
        <w:rPr>
          <w:rFonts w:hint="eastAsia" w:ascii="Times New Roman" w:hAnsi="Times New Roman" w:eastAsia="方正仿宋_GBK" w:cs="方正仿宋_GBK"/>
          <w:color w:val="auto"/>
          <w:kern w:val="2"/>
          <w:sz w:val="33"/>
          <w:szCs w:val="33"/>
          <w:highlight w:val="none"/>
          <w:lang w:val="en-US"/>
        </w:rPr>
        <w:t>预算数。</w:t>
      </w:r>
    </w:p>
    <w:p w14:paraId="1CC1A9D4">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12.</w:t>
      </w:r>
      <w:r>
        <w:rPr>
          <w:rFonts w:hint="eastAsia" w:ascii="Times New Roman" w:hAnsi="Times New Roman" w:eastAsia="方正仿宋_GBK" w:cs="方正仿宋_GBK"/>
          <w:b/>
          <w:color w:val="000000"/>
          <w:kern w:val="2"/>
          <w:sz w:val="33"/>
          <w:szCs w:val="33"/>
          <w:highlight w:val="none"/>
          <w:lang w:val="en-US"/>
        </w:rPr>
        <w:t>住房保障支出（类）住房改革支出（款）</w:t>
      </w:r>
      <w:r>
        <w:rPr>
          <w:rFonts w:hint="eastAsia" w:ascii="Times New Roman" w:hAnsi="Times New Roman" w:eastAsia="方正仿宋_GBK" w:cs="方正仿宋_GBK"/>
          <w:b/>
          <w:color w:val="000000"/>
          <w:kern w:val="2"/>
          <w:sz w:val="33"/>
          <w:szCs w:val="33"/>
          <w:highlight w:val="none"/>
          <w:lang w:val="en-US" w:eastAsia="zh-CN"/>
        </w:rPr>
        <w:t>住房公积金</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rPr>
        <w:t>支出决算为</w:t>
      </w:r>
      <w:r>
        <w:rPr>
          <w:rFonts w:hint="eastAsia" w:ascii="Times New Roman" w:hAnsi="Times New Roman" w:eastAsia="方正仿宋_GBK" w:cs="方正仿宋_GBK"/>
          <w:color w:val="auto"/>
          <w:kern w:val="2"/>
          <w:sz w:val="33"/>
          <w:szCs w:val="33"/>
          <w:highlight w:val="none"/>
          <w:lang w:val="en-US" w:eastAsia="zh-CN" w:bidi="ar-SA"/>
        </w:rPr>
        <w:t>64.88</w:t>
      </w:r>
      <w:r>
        <w:rPr>
          <w:rFonts w:hint="eastAsia" w:ascii="Times New Roman" w:hAnsi="Times New Roman" w:eastAsia="方正仿宋_GBK" w:cs="方正仿宋_GBK"/>
          <w:color w:val="auto"/>
          <w:kern w:val="2"/>
          <w:sz w:val="33"/>
          <w:szCs w:val="33"/>
          <w:highlight w:val="none"/>
          <w:lang w:val="en-US"/>
        </w:rPr>
        <w:t>万元，完成预算</w:t>
      </w:r>
      <w:r>
        <w:rPr>
          <w:rFonts w:hint="eastAsia" w:ascii="Times New Roman" w:hAnsi="Times New Roman" w:eastAsia="方正仿宋_GBK" w:cs="方正仿宋_GBK"/>
          <w:color w:val="auto"/>
          <w:kern w:val="2"/>
          <w:sz w:val="33"/>
          <w:szCs w:val="33"/>
          <w:highlight w:val="none"/>
          <w:lang w:val="en-US" w:eastAsia="zh-CN" w:bidi="ar-SA"/>
        </w:rPr>
        <w:t>100%</w:t>
      </w:r>
      <w:r>
        <w:rPr>
          <w:rFonts w:hint="eastAsia" w:ascii="Times New Roman" w:hAnsi="Times New Roman" w:eastAsia="方正仿宋_GBK" w:cs="方正仿宋_GBK"/>
          <w:color w:val="auto"/>
          <w:kern w:val="2"/>
          <w:sz w:val="33"/>
          <w:szCs w:val="33"/>
          <w:highlight w:val="none"/>
          <w:lang w:val="en-US"/>
        </w:rPr>
        <w:t>，决算数</w:t>
      </w:r>
      <w:r>
        <w:rPr>
          <w:rFonts w:hint="eastAsia" w:ascii="Times New Roman" w:hAnsi="Times New Roman" w:eastAsia="方正仿宋_GBK" w:cs="方正仿宋_GBK"/>
          <w:color w:val="auto"/>
          <w:kern w:val="2"/>
          <w:sz w:val="33"/>
          <w:szCs w:val="33"/>
          <w:highlight w:val="none"/>
          <w:lang w:val="en-US" w:eastAsia="zh-CN"/>
        </w:rPr>
        <w:t>等于</w:t>
      </w:r>
      <w:r>
        <w:rPr>
          <w:rFonts w:hint="eastAsia" w:ascii="Times New Roman" w:hAnsi="Times New Roman" w:eastAsia="方正仿宋_GBK" w:cs="方正仿宋_GBK"/>
          <w:color w:val="auto"/>
          <w:kern w:val="2"/>
          <w:sz w:val="33"/>
          <w:szCs w:val="33"/>
          <w:highlight w:val="none"/>
          <w:lang w:val="en-US"/>
        </w:rPr>
        <w:t>预算数。</w:t>
      </w:r>
    </w:p>
    <w:p w14:paraId="2B571DE7">
      <w:pPr>
        <w:keepNext/>
        <w:keepLines w:val="0"/>
        <w:pageBreakBefore w:val="0"/>
        <w:widowControl w:val="0"/>
        <w:tabs>
          <w:tab w:val="right" w:pos="8306"/>
        </w:tabs>
        <w:kinsoku/>
        <w:wordWrap/>
        <w:overflowPunct/>
        <w:topLinePunct w:val="0"/>
        <w:autoSpaceDE/>
        <w:autoSpaceDN/>
        <w:bidi w:val="0"/>
        <w:spacing w:line="600" w:lineRule="exact"/>
        <w:ind w:firstLine="640"/>
        <w:textAlignment w:val="auto"/>
        <w:outlineLvl w:val="1"/>
        <w:rPr>
          <w:rStyle w:val="31"/>
          <w:rFonts w:ascii="Times New Roman" w:hAnsi="Times New Roman"/>
          <w:color w:val="auto"/>
          <w:highlight w:val="none"/>
        </w:rPr>
      </w:pPr>
      <w:bookmarkStart w:id="32" w:name="_Toc15396608"/>
      <w:bookmarkStart w:id="33" w:name="_Toc15377214"/>
      <w:r>
        <w:rPr>
          <w:rFonts w:hint="eastAsia" w:ascii="方正黑体_GBK" w:hAnsi="方正黑体_GBK" w:eastAsia="方正黑体_GBK" w:cs="方正黑体_GBK"/>
          <w:b w:val="0"/>
          <w:bCs/>
          <w:color w:val="auto"/>
          <w:kern w:val="2"/>
          <w:sz w:val="33"/>
          <w:szCs w:val="33"/>
          <w:highlight w:val="none"/>
          <w:lang w:val="en-US" w:eastAsia="zh-CN" w:bidi="ar-SA"/>
        </w:rPr>
        <w:t>六、一般公共预算财政拨款基本支出决算情况说明</w:t>
      </w:r>
      <w:bookmarkEnd w:id="32"/>
      <w:bookmarkEnd w:id="33"/>
      <w:r>
        <w:rPr>
          <w:rStyle w:val="31"/>
          <w:rFonts w:ascii="Times New Roman" w:hAnsi="Times New Roman" w:eastAsia="黑体"/>
          <w:b w:val="0"/>
          <w:color w:val="auto"/>
          <w:highlight w:val="none"/>
        </w:rPr>
        <w:tab/>
      </w:r>
    </w:p>
    <w:p w14:paraId="0AFD2FB3">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36" w:firstLineChars="200"/>
        <w:jc w:val="both"/>
        <w:textAlignment w:val="auto"/>
        <w:rPr>
          <w:rFonts w:hint="eastAsia" w:ascii="Times New Roman" w:hAnsi="Times New Roman" w:eastAsia="方正仿宋_GBK" w:cs="方正仿宋_GBK"/>
          <w:color w:val="auto"/>
          <w:spacing w:val="-6"/>
          <w:kern w:val="2"/>
          <w:sz w:val="33"/>
          <w:szCs w:val="33"/>
          <w:highlight w:val="none"/>
          <w:lang w:val="en-US" w:eastAsia="zh-CN"/>
        </w:rPr>
      </w:pPr>
      <w:r>
        <w:rPr>
          <w:rFonts w:hint="eastAsia" w:ascii="Times New Roman" w:hAnsi="Times New Roman" w:eastAsia="方正仿宋_GBK" w:cs="方正仿宋_GBK"/>
          <w:color w:val="auto"/>
          <w:spacing w:val="-6"/>
          <w:kern w:val="2"/>
          <w:sz w:val="33"/>
          <w:szCs w:val="33"/>
          <w:highlight w:val="none"/>
          <w:lang w:val="en-US" w:eastAsia="zh-CN"/>
        </w:rPr>
        <w:t>2024年度一般公共预算财政拨款基本支出798.5万元，其中：</w:t>
      </w:r>
    </w:p>
    <w:p w14:paraId="5135F41C">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eastAsia" w:eastAsia="方正仿宋_GBK" w:cs="方正仿宋_GBK"/>
          <w:color w:val="auto"/>
          <w:kern w:val="2"/>
          <w:sz w:val="33"/>
          <w:szCs w:val="33"/>
          <w:highlight w:val="none"/>
          <w:lang w:val="en-US" w:eastAsia="zh-CN"/>
        </w:rPr>
      </w:pPr>
      <w:r>
        <w:rPr>
          <w:rFonts w:hint="eastAsia" w:ascii="Times New Roman" w:hAnsi="Times New Roman" w:eastAsia="方正仿宋_GBK" w:cs="方正仿宋_GBK"/>
          <w:color w:val="auto"/>
          <w:kern w:val="2"/>
          <w:sz w:val="33"/>
          <w:szCs w:val="33"/>
          <w:highlight w:val="none"/>
          <w:lang w:val="en-US" w:eastAsia="zh-CN"/>
        </w:rPr>
        <w:t>人员经费733.41万元，主要包括：基本工资、津贴补贴、奖金、绩效工资、机关事业单位基本养老保险缴费、职业年金缴费、其他社会保障缴费、其他工资福利支出、生活补助、医疗费补助、住房公积金、其他对个人和家庭的补助支出等。</w:t>
      </w:r>
      <w:r>
        <w:rPr>
          <w:rFonts w:hint="eastAsia" w:eastAsia="方正仿宋_GBK" w:cs="方正仿宋_GBK"/>
          <w:color w:val="auto"/>
          <w:kern w:val="2"/>
          <w:sz w:val="33"/>
          <w:szCs w:val="33"/>
          <w:highlight w:val="none"/>
          <w:lang w:val="en-US" w:eastAsia="zh-CN"/>
        </w:rPr>
        <w:t xml:space="preserve">  </w:t>
      </w:r>
    </w:p>
    <w:p w14:paraId="53414778">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auto"/>
          <w:kern w:val="2"/>
          <w:sz w:val="33"/>
          <w:szCs w:val="33"/>
          <w:highlight w:val="none"/>
          <w:lang w:val="en-US" w:eastAsia="zh-CN"/>
        </w:rPr>
      </w:pPr>
      <w:r>
        <w:rPr>
          <w:rFonts w:hint="eastAsia" w:ascii="Times New Roman" w:hAnsi="Times New Roman" w:eastAsia="方正仿宋_GBK" w:cs="方正仿宋_GBK"/>
          <w:color w:val="auto"/>
          <w:kern w:val="2"/>
          <w:sz w:val="33"/>
          <w:szCs w:val="33"/>
          <w:highlight w:val="none"/>
          <w:lang w:val="en-US" w:eastAsia="zh-CN"/>
        </w:rPr>
        <w:t>公用经费65.09万元，主要包括：办公费、水费、邮电费、差旅费、租赁费、公务接待费、劳务费、工会经费、福利费、其他交通费、其他商品和服务支出等。</w:t>
      </w:r>
    </w:p>
    <w:p w14:paraId="0AC5E1F0">
      <w:pPr>
        <w:keepNext/>
        <w:keepLines w:val="0"/>
        <w:pageBreakBefore w:val="0"/>
        <w:widowControl w:val="0"/>
        <w:tabs>
          <w:tab w:val="right" w:pos="8306"/>
        </w:tabs>
        <w:kinsoku/>
        <w:wordWrap/>
        <w:overflowPunct/>
        <w:topLinePunct w:val="0"/>
        <w:autoSpaceDE/>
        <w:autoSpaceDN/>
        <w:bidi w:val="0"/>
        <w:spacing w:line="600" w:lineRule="exact"/>
        <w:ind w:firstLine="640"/>
        <w:textAlignment w:val="auto"/>
        <w:outlineLvl w:val="1"/>
        <w:rPr>
          <w:rFonts w:hint="eastAsia" w:ascii="方正黑体_GBK" w:hAnsi="方正黑体_GBK" w:eastAsia="方正黑体_GBK" w:cs="方正黑体_GBK"/>
          <w:b w:val="0"/>
          <w:bCs/>
          <w:color w:val="auto"/>
          <w:kern w:val="2"/>
          <w:sz w:val="33"/>
          <w:szCs w:val="33"/>
          <w:highlight w:val="none"/>
          <w:lang w:val="en-US" w:eastAsia="zh-CN" w:bidi="ar-SA"/>
        </w:rPr>
      </w:pPr>
      <w:bookmarkStart w:id="34" w:name="_Toc15396609"/>
      <w:bookmarkStart w:id="35" w:name="_Toc15377215"/>
      <w:r>
        <w:rPr>
          <w:rFonts w:hint="eastAsia" w:ascii="方正黑体_GBK" w:hAnsi="方正黑体_GBK" w:eastAsia="方正黑体_GBK" w:cs="方正黑体_GBK"/>
          <w:b w:val="0"/>
          <w:bCs/>
          <w:color w:val="auto"/>
          <w:kern w:val="2"/>
          <w:sz w:val="33"/>
          <w:szCs w:val="33"/>
          <w:highlight w:val="none"/>
          <w:lang w:val="en-US" w:eastAsia="zh-CN" w:bidi="ar-SA"/>
        </w:rPr>
        <w:t>七、财政拨款“三公”经费支出决算情况说明</w:t>
      </w:r>
      <w:bookmarkEnd w:id="34"/>
      <w:bookmarkEnd w:id="35"/>
    </w:p>
    <w:p w14:paraId="327EC468">
      <w:pPr>
        <w:keepNext/>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pPr>
      <w:bookmarkStart w:id="36" w:name="_Toc15377216"/>
      <w:r>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t>（一）“三公”经费财政拨款支出决算总体情况说明</w:t>
      </w:r>
      <w:bookmarkEnd w:id="36"/>
    </w:p>
    <w:p w14:paraId="01E672AA">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color w:val="auto"/>
          <w:kern w:val="2"/>
          <w:sz w:val="33"/>
          <w:szCs w:val="33"/>
          <w:highlight w:val="none"/>
          <w:lang w:val="en-US" w:eastAsia="zh-CN" w:bidi="ar-SA"/>
        </w:rPr>
        <w:t>2024年度“三公”经费财政拨款支出决算为0.8万元，完成预算100%，较上年度增加0.12万元，增长17.65%。主要原因是支付了2023年底公务接待。</w:t>
      </w:r>
    </w:p>
    <w:p w14:paraId="7010118D">
      <w:pPr>
        <w:keepNext/>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pPr>
      <w:bookmarkStart w:id="37" w:name="_Toc15377217"/>
      <w:r>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t>（二）“三公”经费财政拨款支出决算具体情况说明</w:t>
      </w:r>
      <w:bookmarkEnd w:id="37"/>
    </w:p>
    <w:p w14:paraId="35F67908">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color w:val="auto"/>
          <w:kern w:val="2"/>
          <w:sz w:val="33"/>
          <w:szCs w:val="33"/>
          <w:highlight w:val="none"/>
          <w:lang w:val="en-US" w:eastAsia="zh-CN" w:bidi="ar-SA"/>
        </w:rPr>
        <w:t>2024年度“三公”经费财政拨款支出决算中，因公出国（境）费支出决算0万元，占0%；公务用车购置及运行维护费支出决算0万元，占0%；公务接待费支出决算0.8万元，占100%。具体情况如下：</w:t>
      </w:r>
    </w:p>
    <w:p w14:paraId="1BB72D35">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color w:val="auto"/>
          <w:kern w:val="2"/>
          <w:sz w:val="33"/>
          <w:szCs w:val="33"/>
          <w:highlight w:val="none"/>
          <w:lang w:val="en-US" w:eastAsia="zh-CN" w:bidi="ar-SA"/>
        </w:rPr>
        <w:t>（图7：“三公”经费财政拨款支出结构）（饼状图）</w:t>
      </w:r>
    </w:p>
    <w:p w14:paraId="16E352FD">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方正仿宋_GBK" w:cs="方正仿宋_GBK"/>
          <w:color w:val="auto"/>
          <w:kern w:val="2"/>
          <w:sz w:val="33"/>
          <w:szCs w:val="33"/>
          <w:highlight w:val="none"/>
          <w:lang w:val="en-US" w:eastAsia="zh-CN" w:bidi="ar-SA"/>
        </w:rPr>
        <w:drawing>
          <wp:anchor distT="0" distB="0" distL="114300" distR="114300" simplePos="0" relativeHeight="251659264" behindDoc="0" locked="0" layoutInCell="1" allowOverlap="1">
            <wp:simplePos x="0" y="0"/>
            <wp:positionH relativeFrom="column">
              <wp:posOffset>287020</wp:posOffset>
            </wp:positionH>
            <wp:positionV relativeFrom="paragraph">
              <wp:posOffset>66040</wp:posOffset>
            </wp:positionV>
            <wp:extent cx="4826000" cy="2239010"/>
            <wp:effectExtent l="4445" t="4445" r="8255" b="23495"/>
            <wp:wrapSquare wrapText="bothSides"/>
            <wp:docPr id="1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24D220A">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6ADFC8A5">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573ED4F2">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2F5AF53D">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1D85131F">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53BAFD98">
      <w:pPr>
        <w:keepNext/>
        <w:keepLines w:val="0"/>
        <w:pageBreakBefore w:val="0"/>
        <w:widowControl w:val="0"/>
        <w:kinsoku/>
        <w:wordWrap/>
        <w:overflowPunct/>
        <w:topLinePunct w:val="0"/>
        <w:autoSpaceDE/>
        <w:autoSpaceDN/>
        <w:bidi w:val="0"/>
        <w:spacing w:line="60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bCs/>
          <w:color w:val="auto"/>
          <w:kern w:val="2"/>
          <w:sz w:val="33"/>
          <w:szCs w:val="33"/>
          <w:highlight w:val="none"/>
          <w:lang w:val="en-US" w:eastAsia="zh-CN" w:bidi="ar-SA"/>
        </w:rPr>
        <w:t>1.因公出国（境）经费支出</w:t>
      </w:r>
      <w:r>
        <w:rPr>
          <w:rFonts w:hint="eastAsia" w:ascii="Times New Roman" w:hAnsi="Times New Roman" w:eastAsia="方正仿宋_GBK" w:cs="方正仿宋_GBK"/>
          <w:color w:val="auto"/>
          <w:kern w:val="2"/>
          <w:sz w:val="33"/>
          <w:szCs w:val="33"/>
          <w:highlight w:val="none"/>
          <w:lang w:val="en-US" w:eastAsia="zh-CN" w:bidi="ar-SA"/>
        </w:rPr>
        <w:t>0</w:t>
      </w:r>
      <w:r>
        <w:rPr>
          <w:rFonts w:hint="eastAsia" w:ascii="Times New Roman" w:hAnsi="Times New Roman" w:eastAsia="方正仿宋_GBK" w:cs="方正仿宋_GBK"/>
          <w:b/>
          <w:bCs/>
          <w:color w:val="auto"/>
          <w:kern w:val="2"/>
          <w:sz w:val="33"/>
          <w:szCs w:val="33"/>
          <w:highlight w:val="none"/>
          <w:lang w:val="en-US" w:eastAsia="zh-CN" w:bidi="ar-SA"/>
        </w:rPr>
        <w:t>万元，完成预算</w:t>
      </w:r>
      <w:r>
        <w:rPr>
          <w:rFonts w:hint="eastAsia" w:ascii="Times New Roman" w:hAnsi="Times New Roman" w:eastAsia="方正仿宋_GBK" w:cs="方正仿宋_GBK"/>
          <w:color w:val="auto"/>
          <w:kern w:val="2"/>
          <w:sz w:val="33"/>
          <w:szCs w:val="33"/>
          <w:highlight w:val="none"/>
          <w:lang w:val="en-US" w:eastAsia="zh-CN" w:bidi="ar-SA"/>
        </w:rPr>
        <w:t>0%</w:t>
      </w:r>
      <w:r>
        <w:rPr>
          <w:rFonts w:hint="eastAsia" w:ascii="Times New Roman" w:hAnsi="Times New Roman" w:eastAsia="方正仿宋_GBK" w:cs="方正仿宋_GBK"/>
          <w:b/>
          <w:bCs/>
          <w:color w:val="auto"/>
          <w:kern w:val="2"/>
          <w:sz w:val="33"/>
          <w:szCs w:val="33"/>
          <w:highlight w:val="none"/>
          <w:lang w:val="en-US" w:eastAsia="zh-CN" w:bidi="ar-SA"/>
        </w:rPr>
        <w:t>。</w:t>
      </w:r>
      <w:r>
        <w:rPr>
          <w:rFonts w:hint="eastAsia" w:ascii="Times New Roman" w:hAnsi="Times New Roman" w:eastAsia="方正仿宋_GBK" w:cs="方正仿宋_GBK"/>
          <w:color w:val="auto"/>
          <w:kern w:val="2"/>
          <w:sz w:val="33"/>
          <w:szCs w:val="33"/>
          <w:highlight w:val="none"/>
          <w:lang w:val="en-US" w:eastAsia="zh-CN" w:bidi="ar-SA"/>
        </w:rPr>
        <w:t>全年安排因公出国（境）团组0次，出国（境）0人。</w:t>
      </w:r>
    </w:p>
    <w:p w14:paraId="62715699">
      <w:pPr>
        <w:keepNext/>
        <w:keepLines w:val="0"/>
        <w:pageBreakBefore w:val="0"/>
        <w:widowControl w:val="0"/>
        <w:kinsoku/>
        <w:wordWrap/>
        <w:overflowPunct/>
        <w:topLinePunct w:val="0"/>
        <w:autoSpaceDE/>
        <w:autoSpaceDN/>
        <w:bidi w:val="0"/>
        <w:spacing w:line="60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bCs/>
          <w:color w:val="auto"/>
          <w:kern w:val="2"/>
          <w:sz w:val="33"/>
          <w:szCs w:val="33"/>
          <w:highlight w:val="none"/>
          <w:lang w:val="en-US" w:eastAsia="zh-CN" w:bidi="ar-SA"/>
        </w:rPr>
        <w:t>2.公务用车购置及运行维护费支出</w:t>
      </w:r>
      <w:r>
        <w:rPr>
          <w:rFonts w:hint="eastAsia" w:ascii="Times New Roman" w:hAnsi="Times New Roman" w:eastAsia="方正仿宋_GBK" w:cs="方正仿宋_GBK"/>
          <w:color w:val="auto"/>
          <w:kern w:val="2"/>
          <w:sz w:val="33"/>
          <w:szCs w:val="33"/>
          <w:highlight w:val="none"/>
          <w:lang w:val="en-US" w:eastAsia="zh-CN" w:bidi="ar-SA"/>
        </w:rPr>
        <w:t>0</w:t>
      </w:r>
      <w:r>
        <w:rPr>
          <w:rFonts w:hint="eastAsia" w:ascii="Times New Roman" w:hAnsi="Times New Roman" w:eastAsia="方正仿宋_GBK" w:cs="方正仿宋_GBK"/>
          <w:b/>
          <w:bCs/>
          <w:color w:val="auto"/>
          <w:kern w:val="2"/>
          <w:sz w:val="33"/>
          <w:szCs w:val="33"/>
          <w:highlight w:val="none"/>
          <w:lang w:val="en-US" w:eastAsia="zh-CN" w:bidi="ar-SA"/>
        </w:rPr>
        <w:t>万元，完成预算0%。</w:t>
      </w:r>
    </w:p>
    <w:p w14:paraId="26958874">
      <w:pPr>
        <w:keepNext/>
        <w:keepLines w:val="0"/>
        <w:pageBreakBefore w:val="0"/>
        <w:widowControl w:val="0"/>
        <w:kinsoku/>
        <w:wordWrap/>
        <w:overflowPunct/>
        <w:topLinePunct w:val="0"/>
        <w:autoSpaceDE/>
        <w:autoSpaceDN/>
        <w:bidi w:val="0"/>
        <w:spacing w:line="60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bCs/>
          <w:color w:val="auto"/>
          <w:kern w:val="2"/>
          <w:sz w:val="33"/>
          <w:szCs w:val="33"/>
          <w:highlight w:val="none"/>
          <w:lang w:val="en-US" w:eastAsia="zh-CN" w:bidi="ar-SA"/>
        </w:rPr>
        <w:t>3.公务接待费支出0.8万元，完成预算100%。</w:t>
      </w:r>
      <w:r>
        <w:rPr>
          <w:rFonts w:hint="eastAsia" w:ascii="Times New Roman" w:hAnsi="Times New Roman" w:eastAsia="方正仿宋_GBK" w:cs="方正仿宋_GBK"/>
          <w:color w:val="auto"/>
          <w:kern w:val="2"/>
          <w:sz w:val="33"/>
          <w:szCs w:val="33"/>
          <w:highlight w:val="none"/>
          <w:lang w:val="en-US" w:eastAsia="zh-CN" w:bidi="ar-SA"/>
        </w:rPr>
        <w:t>公务接待费支出决算比2023年度增加0.12万元，增长17.65%。主要原因是支付了2023年底公务接待。国内公务接待支出</w:t>
      </w:r>
      <w:r>
        <w:rPr>
          <w:rFonts w:hint="eastAsia" w:ascii="Times New Roman" w:hAnsi="Times New Roman" w:eastAsia="方正仿宋_GBK" w:cs="方正仿宋_GBK"/>
          <w:sz w:val="33"/>
          <w:szCs w:val="33"/>
          <w:highlight w:val="none"/>
        </w:rPr>
        <w:t>0.8</w:t>
      </w:r>
      <w:r>
        <w:rPr>
          <w:rFonts w:hint="eastAsia" w:ascii="Times New Roman" w:hAnsi="Times New Roman" w:eastAsia="方正仿宋_GBK" w:cs="方正仿宋_GBK"/>
          <w:color w:val="auto"/>
          <w:kern w:val="2"/>
          <w:sz w:val="33"/>
          <w:szCs w:val="33"/>
          <w:highlight w:val="none"/>
          <w:lang w:val="en-US" w:eastAsia="zh-CN" w:bidi="ar-SA"/>
        </w:rPr>
        <w:t>万元，主要用于</w:t>
      </w:r>
      <w:r>
        <w:rPr>
          <w:rFonts w:hint="eastAsia" w:ascii="Times New Roman" w:hAnsi="Times New Roman" w:eastAsia="方正仿宋_GBK" w:cs="方正仿宋_GBK"/>
          <w:color w:val="000000"/>
          <w:kern w:val="2"/>
          <w:sz w:val="33"/>
          <w:szCs w:val="33"/>
          <w:highlight w:val="none"/>
          <w:lang w:val="en-US" w:eastAsia="zh-CN"/>
        </w:rPr>
        <w:t>上级调研及迎接检查等</w:t>
      </w:r>
      <w:r>
        <w:rPr>
          <w:rFonts w:hint="eastAsia" w:ascii="Times New Roman" w:hAnsi="Times New Roman" w:eastAsia="方正仿宋_GBK" w:cs="方正仿宋_GBK"/>
          <w:color w:val="000000"/>
          <w:kern w:val="2"/>
          <w:sz w:val="33"/>
          <w:szCs w:val="33"/>
          <w:highlight w:val="none"/>
          <w:lang w:val="en-US"/>
        </w:rPr>
        <w:t>执行公务、开展业务活动开支的用餐费</w:t>
      </w:r>
      <w:r>
        <w:rPr>
          <w:rFonts w:hint="eastAsia" w:ascii="Times New Roman" w:hAnsi="Times New Roman" w:eastAsia="方正仿宋_GBK" w:cs="方正仿宋_GBK"/>
          <w:color w:val="auto"/>
          <w:kern w:val="2"/>
          <w:sz w:val="33"/>
          <w:szCs w:val="33"/>
          <w:highlight w:val="none"/>
          <w:lang w:val="en-US" w:eastAsia="zh-CN" w:bidi="ar-SA"/>
        </w:rPr>
        <w:t>。国内公务接待</w:t>
      </w:r>
      <w:r>
        <w:rPr>
          <w:rFonts w:hint="eastAsia" w:eastAsia="方正仿宋_GBK" w:cs="方正仿宋_GBK"/>
          <w:sz w:val="33"/>
          <w:szCs w:val="33"/>
          <w:highlight w:val="none"/>
          <w:lang w:val="en-US" w:eastAsia="zh-CN"/>
        </w:rPr>
        <w:t>8</w:t>
      </w:r>
      <w:r>
        <w:rPr>
          <w:rFonts w:hint="eastAsia" w:ascii="Times New Roman" w:hAnsi="Times New Roman" w:eastAsia="方正仿宋_GBK" w:cs="方正仿宋_GBK"/>
          <w:color w:val="auto"/>
          <w:kern w:val="2"/>
          <w:sz w:val="33"/>
          <w:szCs w:val="33"/>
          <w:highlight w:val="none"/>
          <w:lang w:val="en-US" w:eastAsia="zh-CN" w:bidi="ar-SA"/>
        </w:rPr>
        <w:t>批次，</w:t>
      </w:r>
      <w:r>
        <w:rPr>
          <w:rFonts w:hint="eastAsia" w:eastAsia="方正仿宋_GBK" w:cs="方正仿宋_GBK"/>
          <w:sz w:val="33"/>
          <w:szCs w:val="33"/>
          <w:highlight w:val="none"/>
          <w:lang w:val="en-US" w:eastAsia="zh-CN"/>
        </w:rPr>
        <w:t>47</w:t>
      </w:r>
      <w:r>
        <w:rPr>
          <w:rFonts w:hint="eastAsia" w:ascii="Times New Roman" w:hAnsi="Times New Roman" w:eastAsia="方正仿宋_GBK" w:cs="方正仿宋_GBK"/>
          <w:color w:val="auto"/>
          <w:kern w:val="2"/>
          <w:sz w:val="33"/>
          <w:szCs w:val="33"/>
          <w:highlight w:val="none"/>
          <w:lang w:val="en-US" w:eastAsia="zh-CN" w:bidi="ar-SA"/>
        </w:rPr>
        <w:t>人次（不包括陪同人员），共计支出0.8万元，具体内容包括</w:t>
      </w:r>
      <w:r>
        <w:rPr>
          <w:rFonts w:hint="eastAsia" w:eastAsia="方正仿宋_GBK" w:cs="方正仿宋_GBK"/>
          <w:color w:val="auto"/>
          <w:kern w:val="2"/>
          <w:sz w:val="33"/>
          <w:szCs w:val="33"/>
          <w:highlight w:val="none"/>
          <w:lang w:val="en-US" w:eastAsia="zh-CN" w:bidi="ar-SA"/>
        </w:rPr>
        <w:t>2023年</w:t>
      </w:r>
      <w:r>
        <w:rPr>
          <w:rFonts w:hint="eastAsia" w:ascii="Times New Roman" w:hAnsi="Times New Roman" w:eastAsia="方正仿宋_GBK" w:cs="方正仿宋_GBK"/>
          <w:color w:val="auto"/>
          <w:kern w:val="2"/>
          <w:sz w:val="33"/>
          <w:szCs w:val="33"/>
          <w:highlight w:val="none"/>
          <w:lang w:val="en-US" w:eastAsia="zh-CN" w:bidi="ar-SA"/>
        </w:rPr>
        <w:t>综合改革</w:t>
      </w:r>
      <w:r>
        <w:rPr>
          <w:rFonts w:hint="eastAsia" w:eastAsia="方正仿宋_GBK" w:cs="方正仿宋_GBK"/>
          <w:color w:val="auto"/>
          <w:kern w:val="2"/>
          <w:sz w:val="33"/>
          <w:szCs w:val="33"/>
          <w:highlight w:val="none"/>
          <w:lang w:val="en-US" w:eastAsia="zh-CN" w:bidi="ar-SA"/>
        </w:rPr>
        <w:t>转移支付项目评估</w:t>
      </w:r>
      <w:r>
        <w:rPr>
          <w:rFonts w:hint="eastAsia" w:ascii="Times New Roman" w:hAnsi="Times New Roman" w:eastAsia="方正仿宋_GBK" w:cs="方正仿宋_GBK"/>
          <w:color w:val="auto"/>
          <w:kern w:val="2"/>
          <w:sz w:val="33"/>
          <w:szCs w:val="33"/>
          <w:highlight w:val="none"/>
          <w:lang w:val="en-US" w:eastAsia="zh-CN" w:bidi="ar-SA"/>
        </w:rPr>
        <w:t>接待费1980元；市人大预算到前锋调研专项债券资金管理及使用情况接待费用1200元；市财政局开展财经纪律重点问题自查自纠接待费454元；市人大调研县级财政运行暨财政管理体制改革接待费1116元，省监管局检查增发国债接待费1064元，省财政厅开展农村综合改革示范点调研接待费800元；市财政局检查民生领域政策落实情况自查自纠工作复查接待费836元；省财政厅开展2024年重点绩效现场评价工作接待费700元。</w:t>
      </w:r>
    </w:p>
    <w:p w14:paraId="70B5E562">
      <w:pPr>
        <w:keepNext/>
        <w:keepLines w:val="0"/>
        <w:pageBreakBefore w:val="0"/>
        <w:widowControl w:val="0"/>
        <w:tabs>
          <w:tab w:val="right" w:pos="8306"/>
        </w:tabs>
        <w:kinsoku/>
        <w:wordWrap/>
        <w:overflowPunct/>
        <w:topLinePunct w:val="0"/>
        <w:autoSpaceDE/>
        <w:autoSpaceDN/>
        <w:bidi w:val="0"/>
        <w:spacing w:line="600" w:lineRule="exact"/>
        <w:ind w:firstLine="640"/>
        <w:textAlignment w:val="auto"/>
        <w:outlineLvl w:val="1"/>
        <w:rPr>
          <w:rFonts w:hint="eastAsia" w:ascii="方正黑体_GBK" w:hAnsi="方正黑体_GBK" w:eastAsia="方正黑体_GBK" w:cs="方正黑体_GBK"/>
          <w:b w:val="0"/>
          <w:bCs/>
          <w:color w:val="auto"/>
          <w:kern w:val="2"/>
          <w:sz w:val="33"/>
          <w:szCs w:val="33"/>
          <w:highlight w:val="none"/>
          <w:lang w:val="en-US" w:eastAsia="zh-CN" w:bidi="ar-SA"/>
        </w:rPr>
      </w:pPr>
      <w:bookmarkStart w:id="38" w:name="_Toc15396610"/>
      <w:bookmarkStart w:id="39" w:name="_Toc15377218"/>
      <w:r>
        <w:rPr>
          <w:rFonts w:hint="eastAsia" w:ascii="方正黑体_GBK" w:hAnsi="方正黑体_GBK" w:eastAsia="方正黑体_GBK" w:cs="方正黑体_GBK"/>
          <w:b w:val="0"/>
          <w:bCs/>
          <w:color w:val="auto"/>
          <w:kern w:val="2"/>
          <w:sz w:val="33"/>
          <w:szCs w:val="33"/>
          <w:highlight w:val="none"/>
          <w:lang w:val="en-US" w:eastAsia="zh-CN" w:bidi="ar-SA"/>
        </w:rPr>
        <w:t>八、政府性基金预算支出决算情况说明</w:t>
      </w:r>
      <w:bookmarkEnd w:id="38"/>
      <w:bookmarkEnd w:id="39"/>
    </w:p>
    <w:p w14:paraId="09F6FCBB">
      <w:pPr>
        <w:keepNext/>
        <w:keepLines w:val="0"/>
        <w:pageBreakBefore w:val="0"/>
        <w:widowControl w:val="0"/>
        <w:kinsoku/>
        <w:wordWrap/>
        <w:overflowPunct/>
        <w:topLinePunct w:val="0"/>
        <w:autoSpaceDE/>
        <w:autoSpaceDN/>
        <w:bidi w:val="0"/>
        <w:spacing w:line="60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color w:val="auto"/>
          <w:kern w:val="2"/>
          <w:sz w:val="33"/>
          <w:szCs w:val="33"/>
          <w:highlight w:val="none"/>
          <w:lang w:val="en-US" w:eastAsia="zh-CN" w:bidi="ar-SA"/>
        </w:rPr>
        <w:t>2024年度政府性基金预算财政拨款支出142.94万元，占本年支出合计的11.61%。与2023年度相比，政府性基金预算财政拨款支出增加9.57万元，增长7.18%。主要变动原因是考核绩效纳入基金预算支出。</w:t>
      </w:r>
    </w:p>
    <w:p w14:paraId="1DD58789">
      <w:pPr>
        <w:keepNext/>
        <w:keepLines w:val="0"/>
        <w:pageBreakBefore w:val="0"/>
        <w:widowControl w:val="0"/>
        <w:tabs>
          <w:tab w:val="right" w:pos="8306"/>
        </w:tabs>
        <w:kinsoku/>
        <w:wordWrap/>
        <w:overflowPunct/>
        <w:topLinePunct w:val="0"/>
        <w:autoSpaceDE/>
        <w:autoSpaceDN/>
        <w:bidi w:val="0"/>
        <w:spacing w:line="600" w:lineRule="exact"/>
        <w:ind w:firstLine="640"/>
        <w:textAlignment w:val="auto"/>
        <w:outlineLvl w:val="1"/>
        <w:rPr>
          <w:rFonts w:hint="eastAsia" w:ascii="方正黑体_GBK" w:hAnsi="方正黑体_GBK" w:eastAsia="方正黑体_GBK" w:cs="方正黑体_GBK"/>
          <w:b w:val="0"/>
          <w:bCs/>
          <w:color w:val="auto"/>
          <w:kern w:val="2"/>
          <w:sz w:val="33"/>
          <w:szCs w:val="33"/>
          <w:highlight w:val="none"/>
          <w:lang w:val="en-US" w:eastAsia="zh-CN" w:bidi="ar-SA"/>
        </w:rPr>
      </w:pPr>
      <w:bookmarkStart w:id="40" w:name="_Toc15377219"/>
      <w:bookmarkStart w:id="41" w:name="_Toc15396611"/>
      <w:r>
        <w:rPr>
          <w:rFonts w:hint="eastAsia" w:ascii="方正黑体_GBK" w:hAnsi="方正黑体_GBK" w:eastAsia="方正黑体_GBK" w:cs="方正黑体_GBK"/>
          <w:b w:val="0"/>
          <w:bCs/>
          <w:color w:val="auto"/>
          <w:kern w:val="2"/>
          <w:sz w:val="33"/>
          <w:szCs w:val="33"/>
          <w:highlight w:val="none"/>
          <w:lang w:val="en-US" w:eastAsia="zh-CN" w:bidi="ar-SA"/>
        </w:rPr>
        <w:t>九、国有资本经营预算支出决算情况说明</w:t>
      </w:r>
      <w:bookmarkEnd w:id="40"/>
      <w:bookmarkEnd w:id="41"/>
    </w:p>
    <w:p w14:paraId="687FEC38">
      <w:pPr>
        <w:keepNext/>
        <w:keepLines w:val="0"/>
        <w:pageBreakBefore w:val="0"/>
        <w:widowControl w:val="0"/>
        <w:kinsoku/>
        <w:wordWrap/>
        <w:overflowPunct/>
        <w:topLinePunct w:val="0"/>
        <w:autoSpaceDE/>
        <w:autoSpaceDN/>
        <w:bidi w:val="0"/>
        <w:spacing w:line="600" w:lineRule="exact"/>
        <w:ind w:firstLine="640"/>
        <w:jc w:val="both"/>
        <w:textAlignment w:val="auto"/>
        <w:rPr>
          <w:rFonts w:hint="eastAsia" w:ascii="Times New Roman" w:hAnsi="Times New Roman" w:eastAsia="方正仿宋_GBK" w:cs="方正仿宋_GBK"/>
          <w:color w:val="000000"/>
          <w:kern w:val="2"/>
          <w:sz w:val="33"/>
          <w:szCs w:val="33"/>
          <w:highlight w:val="none"/>
          <w:lang w:val="en-US" w:eastAsia="zh-CN"/>
        </w:rPr>
      </w:pPr>
      <w:r>
        <w:rPr>
          <w:rFonts w:hint="eastAsia" w:ascii="Times New Roman" w:hAnsi="Times New Roman" w:eastAsia="方正仿宋_GBK" w:cs="方正仿宋_GBK"/>
          <w:color w:val="000000"/>
          <w:kern w:val="2"/>
          <w:sz w:val="33"/>
          <w:szCs w:val="33"/>
          <w:highlight w:val="none"/>
          <w:lang w:val="en-US" w:eastAsia="zh-CN"/>
        </w:rPr>
        <w:t>2024年度国有资本经营预算财政拨款支出0万元。</w:t>
      </w:r>
      <w:bookmarkStart w:id="42" w:name="_Toc15377221"/>
      <w:bookmarkStart w:id="43" w:name="_Toc15396612"/>
    </w:p>
    <w:p w14:paraId="3C23D8B5">
      <w:pPr>
        <w:keepNext/>
        <w:keepLines w:val="0"/>
        <w:pageBreakBefore w:val="0"/>
        <w:widowControl w:val="0"/>
        <w:tabs>
          <w:tab w:val="right" w:pos="8306"/>
        </w:tabs>
        <w:kinsoku/>
        <w:wordWrap/>
        <w:overflowPunct/>
        <w:topLinePunct w:val="0"/>
        <w:autoSpaceDE/>
        <w:autoSpaceDN/>
        <w:bidi w:val="0"/>
        <w:spacing w:line="600" w:lineRule="exact"/>
        <w:ind w:firstLine="640"/>
        <w:textAlignment w:val="auto"/>
        <w:outlineLvl w:val="1"/>
        <w:rPr>
          <w:rFonts w:hint="eastAsia" w:ascii="方正黑体_GBK" w:hAnsi="方正黑体_GBK" w:eastAsia="方正黑体_GBK" w:cs="方正黑体_GBK"/>
          <w:b w:val="0"/>
          <w:bCs/>
          <w:color w:val="auto"/>
          <w:kern w:val="2"/>
          <w:sz w:val="33"/>
          <w:szCs w:val="33"/>
          <w:highlight w:val="none"/>
          <w:lang w:val="en-US" w:eastAsia="zh-CN" w:bidi="ar-SA"/>
        </w:rPr>
      </w:pPr>
      <w:r>
        <w:rPr>
          <w:rFonts w:hint="eastAsia" w:ascii="方正黑体_GBK" w:hAnsi="方正黑体_GBK" w:eastAsia="方正黑体_GBK" w:cs="方正黑体_GBK"/>
          <w:b w:val="0"/>
          <w:bCs/>
          <w:color w:val="auto"/>
          <w:kern w:val="2"/>
          <w:sz w:val="33"/>
          <w:szCs w:val="33"/>
          <w:highlight w:val="none"/>
          <w:lang w:val="en-US" w:eastAsia="zh-CN" w:bidi="ar-SA"/>
        </w:rPr>
        <w:t>十、其他重要事项的情况说明</w:t>
      </w:r>
      <w:bookmarkEnd w:id="42"/>
      <w:bookmarkEnd w:id="43"/>
    </w:p>
    <w:p w14:paraId="35DFC398">
      <w:pPr>
        <w:keepNext/>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pPr>
      <w:bookmarkStart w:id="44" w:name="_Toc15377222"/>
      <w:r>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t>（一）机关运行经费支出情况</w:t>
      </w:r>
      <w:bookmarkEnd w:id="44"/>
    </w:p>
    <w:p w14:paraId="6A55E5E4">
      <w:pPr>
        <w:keepNext/>
        <w:keepLines w:val="0"/>
        <w:pageBreakBefore w:val="0"/>
        <w:widowControl w:val="0"/>
        <w:kinsoku/>
        <w:wordWrap/>
        <w:overflowPunct/>
        <w:topLinePunct w:val="0"/>
        <w:autoSpaceDE/>
        <w:autoSpaceDN/>
        <w:bidi w:val="0"/>
        <w:spacing w:line="600" w:lineRule="exact"/>
        <w:ind w:firstLine="640"/>
        <w:jc w:val="both"/>
        <w:textAlignment w:val="auto"/>
        <w:rPr>
          <w:rFonts w:hint="eastAsia" w:ascii="Times New Roman" w:hAnsi="Times New Roman" w:eastAsia="方正仿宋_GBK" w:cs="方正仿宋_GBK"/>
          <w:color w:val="000000"/>
          <w:kern w:val="2"/>
          <w:sz w:val="33"/>
          <w:szCs w:val="33"/>
          <w:highlight w:val="none"/>
          <w:lang w:val="en-US" w:eastAsia="zh-CN"/>
        </w:rPr>
      </w:pPr>
      <w:r>
        <w:rPr>
          <w:rFonts w:hint="eastAsia" w:ascii="Times New Roman" w:hAnsi="Times New Roman" w:eastAsia="方正仿宋_GBK" w:cs="方正仿宋_GBK"/>
          <w:color w:val="000000"/>
          <w:kern w:val="2"/>
          <w:sz w:val="33"/>
          <w:szCs w:val="33"/>
          <w:highlight w:val="none"/>
          <w:lang w:val="en-US" w:eastAsia="zh-CN"/>
        </w:rPr>
        <w:t>2024年度，广安市前锋区财政局机关运行经费支出65.09万元，比2023年度减少171.17万元，下降72.45%。主要原因是2022年底解决存量资金200万元纳入2023年部门决算。</w:t>
      </w:r>
    </w:p>
    <w:p w14:paraId="6EE41CD8">
      <w:pPr>
        <w:keepNext/>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pPr>
      <w:bookmarkStart w:id="45" w:name="_Toc15377223"/>
      <w:r>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t>（二）政府采购支出情况</w:t>
      </w:r>
      <w:bookmarkEnd w:id="45"/>
    </w:p>
    <w:p w14:paraId="5ECD29F2">
      <w:pPr>
        <w:keepNext/>
        <w:keepLines w:val="0"/>
        <w:pageBreakBefore w:val="0"/>
        <w:widowControl w:val="0"/>
        <w:kinsoku/>
        <w:wordWrap/>
        <w:overflowPunct/>
        <w:topLinePunct w:val="0"/>
        <w:autoSpaceDE/>
        <w:autoSpaceDN/>
        <w:bidi w:val="0"/>
        <w:spacing w:line="600" w:lineRule="exact"/>
        <w:ind w:firstLine="640"/>
        <w:jc w:val="both"/>
        <w:textAlignment w:val="auto"/>
        <w:rPr>
          <w:rFonts w:hint="eastAsia" w:ascii="Times New Roman" w:hAnsi="Times New Roman" w:eastAsia="方正仿宋_GBK" w:cs="方正仿宋_GBK"/>
          <w:color w:val="000000"/>
          <w:kern w:val="2"/>
          <w:sz w:val="33"/>
          <w:szCs w:val="33"/>
          <w:highlight w:val="none"/>
          <w:lang w:val="en-US" w:eastAsia="zh-CN"/>
        </w:rPr>
      </w:pPr>
      <w:r>
        <w:rPr>
          <w:rFonts w:hint="eastAsia" w:ascii="Times New Roman" w:hAnsi="Times New Roman" w:eastAsia="方正仿宋_GBK" w:cs="方正仿宋_GBK"/>
          <w:color w:val="000000"/>
          <w:kern w:val="2"/>
          <w:sz w:val="33"/>
          <w:szCs w:val="33"/>
          <w:highlight w:val="none"/>
          <w:lang w:val="en-US" w:eastAsia="zh-CN"/>
        </w:rPr>
        <w:t>2024年度，广安市前锋区财政局政府采购支出总额1.22万元，其中：政府采购货物支出1.22万元、政府采购工程支出0万元、政府采购服务支出0万元。授予中小企业合同金额1.22万元，占政府采购支出总额的100%，其中：授予小微企业合同金额1.22万元，占政府采购支出总额的100%。</w:t>
      </w:r>
    </w:p>
    <w:p w14:paraId="229EFEA4">
      <w:pPr>
        <w:keepNext/>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pPr>
      <w:bookmarkStart w:id="46" w:name="_Toc15377224"/>
      <w:r>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t>（三）国有资产占有使用情况</w:t>
      </w:r>
      <w:bookmarkEnd w:id="46"/>
    </w:p>
    <w:p w14:paraId="23DAFA2A">
      <w:pPr>
        <w:keepNext/>
        <w:keepLines w:val="0"/>
        <w:pageBreakBefore w:val="0"/>
        <w:widowControl w:val="0"/>
        <w:kinsoku/>
        <w:wordWrap/>
        <w:overflowPunct/>
        <w:topLinePunct w:val="0"/>
        <w:autoSpaceDE/>
        <w:autoSpaceDN/>
        <w:bidi w:val="0"/>
        <w:spacing w:line="600" w:lineRule="exact"/>
        <w:ind w:firstLine="640"/>
        <w:jc w:val="both"/>
        <w:textAlignment w:val="auto"/>
        <w:rPr>
          <w:rFonts w:hint="eastAsia" w:ascii="Times New Roman" w:hAnsi="Times New Roman" w:eastAsia="方正仿宋_GBK" w:cs="方正仿宋_GBK"/>
          <w:color w:val="000000"/>
          <w:kern w:val="2"/>
          <w:sz w:val="33"/>
          <w:szCs w:val="33"/>
          <w:highlight w:val="none"/>
          <w:lang w:val="en-US" w:eastAsia="zh-CN"/>
        </w:rPr>
      </w:pPr>
      <w:r>
        <w:rPr>
          <w:rFonts w:hint="eastAsia" w:ascii="Times New Roman" w:hAnsi="Times New Roman" w:eastAsia="方正仿宋_GBK" w:cs="方正仿宋_GBK"/>
          <w:color w:val="000000"/>
          <w:kern w:val="2"/>
          <w:sz w:val="33"/>
          <w:szCs w:val="33"/>
          <w:highlight w:val="none"/>
          <w:lang w:val="en-US" w:eastAsia="zh-CN"/>
        </w:rPr>
        <w:t>截至2024年12月31日，广安市前锋区财政局共有车辆0辆，其中：主要负责人用车0辆、机要通信用车0辆、应急保障用车0辆、其他用车0辆，单价100万元（含）以上设备（不含车辆）0台（套）。</w:t>
      </w:r>
    </w:p>
    <w:p w14:paraId="2AEE2DE6">
      <w:pPr>
        <w:keepNext/>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pPr>
      <w:r>
        <w:rPr>
          <w:rFonts w:hint="eastAsia" w:ascii="Times New Roman" w:hAnsi="Times New Roman" w:eastAsia="方正楷体_GBK" w:cs="方正楷体_GBK"/>
          <w:b/>
          <w:bCs/>
          <w:color w:val="000000" w:themeColor="text1"/>
          <w:sz w:val="33"/>
          <w:szCs w:val="33"/>
          <w:highlight w:val="none"/>
          <w:u w:val="none"/>
          <w:lang w:val="en-US" w:eastAsia="zh-CN"/>
          <w14:textFill>
            <w14:solidFill>
              <w14:schemeClr w14:val="tx1"/>
            </w14:solidFill>
          </w14:textFill>
        </w:rPr>
        <w:t>（四）预算绩效管理情况</w:t>
      </w:r>
    </w:p>
    <w:p w14:paraId="4172C8FC">
      <w:pPr>
        <w:keepNext/>
        <w:keepLines w:val="0"/>
        <w:pageBreakBefore w:val="0"/>
        <w:widowControl w:val="0"/>
        <w:kinsoku/>
        <w:wordWrap/>
        <w:overflowPunct/>
        <w:topLinePunct w:val="0"/>
        <w:autoSpaceDE/>
        <w:autoSpaceDN/>
        <w:bidi w:val="0"/>
        <w:spacing w:line="600" w:lineRule="exact"/>
        <w:ind w:firstLine="640"/>
        <w:jc w:val="both"/>
        <w:textAlignment w:val="auto"/>
        <w:rPr>
          <w:rFonts w:hint="eastAsia" w:ascii="Times New Roman" w:hAnsi="Times New Roman" w:eastAsia="方正仿宋_GBK" w:cs="方正仿宋_GBK"/>
          <w:color w:val="000000"/>
          <w:kern w:val="2"/>
          <w:sz w:val="33"/>
          <w:szCs w:val="33"/>
          <w:highlight w:val="none"/>
          <w:lang w:val="en-US" w:eastAsia="zh-CN"/>
        </w:rPr>
      </w:pPr>
      <w:r>
        <w:rPr>
          <w:rFonts w:hint="eastAsia" w:ascii="Times New Roman" w:hAnsi="Times New Roman" w:eastAsia="方正仿宋_GBK" w:cs="方正仿宋_GBK"/>
          <w:color w:val="000000"/>
          <w:kern w:val="2"/>
          <w:sz w:val="33"/>
          <w:szCs w:val="33"/>
          <w:highlight w:val="none"/>
          <w:lang w:val="en-US" w:eastAsia="zh-CN"/>
        </w:rPr>
        <w:t>根据预算绩效管理要求，本部门在2024年度预算编制阶段，组织对0个项目开展了预算事前绩效评估，对5个项目编制了绩效目标，预算执行过程中，选取5个项目开展绩效监控。</w:t>
      </w:r>
    </w:p>
    <w:p w14:paraId="316E7A6B">
      <w:pPr>
        <w:keepNext/>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eastAsia" w:ascii="Times New Roman" w:hAnsi="Times New Roman" w:eastAsia="方正仿宋_GBK" w:cs="方正仿宋_GBK"/>
          <w:color w:val="000000"/>
          <w:kern w:val="2"/>
          <w:sz w:val="33"/>
          <w:szCs w:val="33"/>
          <w:highlight w:val="none"/>
          <w:lang w:val="en-US" w:eastAsia="zh-CN"/>
        </w:rPr>
      </w:pPr>
      <w:r>
        <w:rPr>
          <w:rFonts w:hint="eastAsia" w:ascii="Times New Roman" w:hAnsi="Times New Roman" w:eastAsia="方正仿宋_GBK" w:cs="方正仿宋_GBK"/>
          <w:color w:val="000000"/>
          <w:kern w:val="2"/>
          <w:sz w:val="33"/>
          <w:szCs w:val="33"/>
          <w:highlight w:val="none"/>
          <w:lang w:val="en-US" w:eastAsia="zh-CN"/>
        </w:rPr>
        <w:t>组织对2024年度一般公共预算、政府性基金预算、国有资本经营预算、社会保险基金预算以及资本资产、债券资金等全面开展绩效自评，形成财政局整体绩效自评报告，其中，财政局整体绩效自评得分为91分，绩效自评报告详见附件。</w:t>
      </w:r>
    </w:p>
    <w:p w14:paraId="564494EC">
      <w:pPr>
        <w:keepNext/>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50CA74A3">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bookmarkStart w:id="47" w:name="_Toc15396613"/>
      <w:bookmarkStart w:id="48" w:name="_Toc15377225"/>
    </w:p>
    <w:p w14:paraId="04F3F329">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3CC9FA64">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6765B081">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2B1AED62">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2259A8A9">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67C50886">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22800AD1">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165A7015">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5723ECBF">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752F3B55">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11230BC9">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7A33FD98">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21C4E57E">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0B49376E">
      <w:pPr>
        <w:keepNext/>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黑体"/>
          <w:color w:val="auto"/>
          <w:sz w:val="44"/>
          <w:szCs w:val="44"/>
          <w:highlight w:val="none"/>
        </w:rPr>
      </w:pPr>
    </w:p>
    <w:p w14:paraId="60160799">
      <w:pPr>
        <w:keepNext/>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0"/>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第</w:t>
      </w:r>
      <w:r>
        <w:rPr>
          <w:rFonts w:hint="eastAsia" w:ascii="方正小标宋_GBK" w:hAnsi="方正小标宋_GBK" w:eastAsia="方正小标宋_GBK" w:cs="方正小标宋_GBK"/>
          <w:color w:val="auto"/>
          <w:sz w:val="44"/>
          <w:szCs w:val="44"/>
          <w:highlight w:val="none"/>
          <w:lang w:eastAsia="zh-CN"/>
        </w:rPr>
        <w:t>三</w:t>
      </w:r>
      <w:r>
        <w:rPr>
          <w:rFonts w:hint="eastAsia" w:ascii="方正小标宋_GBK" w:hAnsi="方正小标宋_GBK" w:eastAsia="方正小标宋_GBK" w:cs="方正小标宋_GBK"/>
          <w:color w:val="auto"/>
          <w:sz w:val="44"/>
          <w:szCs w:val="44"/>
          <w:highlight w:val="none"/>
        </w:rPr>
        <w:t>部分</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名词解释</w:t>
      </w:r>
      <w:bookmarkEnd w:id="47"/>
      <w:bookmarkEnd w:id="48"/>
    </w:p>
    <w:p w14:paraId="0E3B4E14">
      <w:pPr>
        <w:keepNext/>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方正仿宋_GBK"/>
          <w:b/>
          <w:color w:val="auto"/>
          <w:sz w:val="33"/>
          <w:szCs w:val="33"/>
          <w:highlight w:val="none"/>
        </w:rPr>
      </w:pPr>
    </w:p>
    <w:p w14:paraId="71B0DBA3">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1.财政拨款收入：</w:t>
      </w:r>
      <w:r>
        <w:rPr>
          <w:rFonts w:hint="eastAsia" w:ascii="Times New Roman" w:hAnsi="Times New Roman" w:eastAsia="方正仿宋_GBK" w:cs="方正仿宋_GBK"/>
          <w:color w:val="auto"/>
          <w:kern w:val="2"/>
          <w:sz w:val="33"/>
          <w:szCs w:val="33"/>
          <w:highlight w:val="none"/>
          <w:lang w:val="en-US" w:eastAsia="zh-CN" w:bidi="ar-SA"/>
        </w:rPr>
        <w:t>指单位从同级财政部门取得的财政预算资金。</w:t>
      </w:r>
    </w:p>
    <w:p w14:paraId="36342170">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2.事业收入：</w:t>
      </w:r>
      <w:r>
        <w:rPr>
          <w:rFonts w:hint="eastAsia" w:ascii="Times New Roman" w:hAnsi="Times New Roman" w:eastAsia="方正仿宋_GBK" w:cs="方正仿宋_GBK"/>
          <w:color w:val="auto"/>
          <w:kern w:val="2"/>
          <w:sz w:val="33"/>
          <w:szCs w:val="33"/>
          <w:highlight w:val="none"/>
          <w:lang w:val="en-US" w:eastAsia="zh-CN" w:bidi="ar-SA"/>
        </w:rPr>
        <w:t>指事业单位开展专业业务活动及辅助活动取得的收入。</w:t>
      </w:r>
    </w:p>
    <w:p w14:paraId="46AE2B49">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3.经营收入：</w:t>
      </w:r>
      <w:r>
        <w:rPr>
          <w:rFonts w:hint="eastAsia" w:ascii="Times New Roman" w:hAnsi="Times New Roman" w:eastAsia="方正仿宋_GBK" w:cs="方正仿宋_GBK"/>
          <w:color w:val="auto"/>
          <w:kern w:val="2"/>
          <w:sz w:val="33"/>
          <w:szCs w:val="33"/>
          <w:highlight w:val="none"/>
          <w:lang w:val="en-US" w:eastAsia="zh-CN" w:bidi="ar-SA"/>
        </w:rPr>
        <w:t>指事业单位在专业业务活动及其辅助活动之外开展非独立核算经营活动取得的收入。</w:t>
      </w:r>
    </w:p>
    <w:p w14:paraId="12F55ACA">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4.其他收入：</w:t>
      </w:r>
      <w:r>
        <w:rPr>
          <w:rFonts w:hint="eastAsia" w:ascii="Times New Roman" w:hAnsi="Times New Roman" w:eastAsia="方正仿宋_GBK" w:cs="方正仿宋_GBK"/>
          <w:color w:val="auto"/>
          <w:kern w:val="2"/>
          <w:sz w:val="33"/>
          <w:szCs w:val="33"/>
          <w:highlight w:val="none"/>
          <w:lang w:val="en-US" w:eastAsia="zh-CN" w:bidi="ar-SA"/>
        </w:rPr>
        <w:t xml:space="preserve">指单位取得的除上述收入以外的各项收入。 </w:t>
      </w:r>
    </w:p>
    <w:p w14:paraId="4187E8A9">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5.使用非财政拨款结余（含专用结余）：</w:t>
      </w:r>
      <w:r>
        <w:rPr>
          <w:rFonts w:hint="eastAsia" w:ascii="Times New Roman" w:hAnsi="Times New Roman" w:eastAsia="方正仿宋_GBK" w:cs="方正仿宋_GBK"/>
          <w:color w:val="auto"/>
          <w:kern w:val="2"/>
          <w:sz w:val="33"/>
          <w:szCs w:val="33"/>
          <w:highlight w:val="none"/>
          <w:lang w:val="en-US" w:eastAsia="zh-CN" w:bidi="ar-SA"/>
        </w:rPr>
        <w:t xml:space="preserve">指事业单位使用以前年度积累的非财政拨款结余弥补当年收支差额的金额。 </w:t>
      </w:r>
    </w:p>
    <w:p w14:paraId="0B258F6E">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6.年初结转和结余：</w:t>
      </w:r>
      <w:r>
        <w:rPr>
          <w:rFonts w:hint="eastAsia" w:ascii="Times New Roman" w:hAnsi="Times New Roman" w:eastAsia="方正仿宋_GBK" w:cs="方正仿宋_GBK"/>
          <w:color w:val="auto"/>
          <w:kern w:val="2"/>
          <w:sz w:val="33"/>
          <w:szCs w:val="33"/>
          <w:highlight w:val="none"/>
          <w:lang w:val="en-US" w:eastAsia="zh-CN" w:bidi="ar-SA"/>
        </w:rPr>
        <w:t xml:space="preserve">指以前年度尚未完成、结转到本年按有关规定继续使用的资金。 </w:t>
      </w:r>
    </w:p>
    <w:p w14:paraId="679DF16B">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7.结余分配：</w:t>
      </w:r>
      <w:r>
        <w:rPr>
          <w:rFonts w:hint="eastAsia" w:ascii="Times New Roman" w:hAnsi="Times New Roman" w:eastAsia="方正仿宋_GBK" w:cs="方正仿宋_GBK"/>
          <w:color w:val="auto"/>
          <w:kern w:val="2"/>
          <w:sz w:val="33"/>
          <w:szCs w:val="33"/>
          <w:highlight w:val="none"/>
          <w:lang w:val="en-US" w:eastAsia="zh-CN" w:bidi="ar-SA"/>
        </w:rPr>
        <w:t>指事业单位按照会计制度规定缴纳的所得税、提取的专用结余以及转入非财政拨款结余的金额等。</w:t>
      </w:r>
    </w:p>
    <w:p w14:paraId="6E38CC4D">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8.年末结转和结余：</w:t>
      </w:r>
      <w:r>
        <w:rPr>
          <w:rFonts w:hint="eastAsia" w:ascii="Times New Roman" w:hAnsi="Times New Roman" w:eastAsia="方正仿宋_GBK" w:cs="方正仿宋_GBK"/>
          <w:color w:val="auto"/>
          <w:kern w:val="2"/>
          <w:sz w:val="33"/>
          <w:szCs w:val="33"/>
          <w:highlight w:val="none"/>
          <w:lang w:val="en-US" w:eastAsia="zh-CN" w:bidi="ar-SA"/>
        </w:rPr>
        <w:t>指单位按有关规定结转到下年或以后年度继续使用的资金。</w:t>
      </w:r>
    </w:p>
    <w:p w14:paraId="6F26657D">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9.</w:t>
      </w:r>
      <w:r>
        <w:rPr>
          <w:rFonts w:hint="eastAsia" w:ascii="Times New Roman" w:hAnsi="Times New Roman" w:eastAsia="方正仿宋_GBK" w:cs="方正仿宋_GBK"/>
          <w:b/>
          <w:color w:val="000000"/>
          <w:kern w:val="2"/>
          <w:sz w:val="33"/>
          <w:szCs w:val="33"/>
          <w:highlight w:val="none"/>
          <w:lang w:val="en-US"/>
        </w:rPr>
        <w:t>一般公共服务支出（类）财政事务（款）</w:t>
      </w:r>
      <w:r>
        <w:rPr>
          <w:rFonts w:hint="eastAsia" w:ascii="Times New Roman" w:hAnsi="Times New Roman" w:eastAsia="方正仿宋_GBK" w:cs="方正仿宋_GBK"/>
          <w:b/>
          <w:color w:val="000000"/>
          <w:kern w:val="2"/>
          <w:sz w:val="33"/>
          <w:szCs w:val="33"/>
          <w:highlight w:val="none"/>
          <w:lang w:val="en-US" w:eastAsia="zh-CN"/>
        </w:rPr>
        <w:t>行政运行</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指</w:t>
      </w:r>
      <w:r>
        <w:rPr>
          <w:rFonts w:hint="eastAsia" w:ascii="Times New Roman" w:hAnsi="Times New Roman" w:eastAsia="方正仿宋_GBK" w:cs="方正仿宋_GBK"/>
          <w:color w:val="000000"/>
          <w:kern w:val="2"/>
          <w:sz w:val="33"/>
          <w:szCs w:val="33"/>
          <w:highlight w:val="none"/>
          <w:lang w:val="en-US" w:eastAsia="zh-CN"/>
        </w:rPr>
        <w:t>财政局公务员及参公管理人员经费及局机关运行经费支出</w:t>
      </w:r>
      <w:r>
        <w:rPr>
          <w:rFonts w:hint="eastAsia" w:ascii="Times New Roman" w:hAnsi="Times New Roman" w:eastAsia="方正仿宋_GBK" w:cs="方正仿宋_GBK"/>
          <w:color w:val="000000"/>
          <w:kern w:val="2"/>
          <w:sz w:val="33"/>
          <w:szCs w:val="33"/>
          <w:highlight w:val="none"/>
          <w:lang w:val="en-US"/>
        </w:rPr>
        <w:t>。</w:t>
      </w:r>
    </w:p>
    <w:p w14:paraId="6ABF7373">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10.</w:t>
      </w:r>
      <w:r>
        <w:rPr>
          <w:rFonts w:hint="eastAsia" w:ascii="Times New Roman" w:hAnsi="Times New Roman" w:eastAsia="方正仿宋_GBK" w:cs="方正仿宋_GBK"/>
          <w:b/>
          <w:color w:val="000000"/>
          <w:kern w:val="2"/>
          <w:sz w:val="33"/>
          <w:szCs w:val="33"/>
          <w:highlight w:val="none"/>
          <w:lang w:val="en-US"/>
        </w:rPr>
        <w:t>一般公共服务支出（类）财政事务（款）</w:t>
      </w:r>
      <w:r>
        <w:rPr>
          <w:rFonts w:hint="eastAsia" w:ascii="Times New Roman" w:hAnsi="Times New Roman" w:eastAsia="方正仿宋_GBK" w:cs="方正仿宋_GBK"/>
          <w:b/>
          <w:color w:val="000000"/>
          <w:kern w:val="2"/>
          <w:sz w:val="33"/>
          <w:szCs w:val="33"/>
          <w:highlight w:val="none"/>
          <w:lang w:val="en-US" w:eastAsia="zh-CN"/>
        </w:rPr>
        <w:t>事业运行</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指</w:t>
      </w:r>
      <w:r>
        <w:rPr>
          <w:rFonts w:hint="eastAsia" w:ascii="Times New Roman" w:hAnsi="Times New Roman" w:eastAsia="方正仿宋_GBK" w:cs="方正仿宋_GBK"/>
          <w:color w:val="000000"/>
          <w:kern w:val="2"/>
          <w:sz w:val="33"/>
          <w:szCs w:val="33"/>
          <w:highlight w:val="none"/>
          <w:lang w:val="en-US" w:eastAsia="zh-CN"/>
        </w:rPr>
        <w:t>财政局事业人员</w:t>
      </w:r>
      <w:bookmarkStart w:id="66" w:name="_GoBack"/>
      <w:bookmarkEnd w:id="66"/>
      <w:r>
        <w:rPr>
          <w:rFonts w:hint="eastAsia" w:ascii="Times New Roman" w:hAnsi="Times New Roman" w:eastAsia="方正仿宋_GBK" w:cs="方正仿宋_GBK"/>
          <w:color w:val="000000"/>
          <w:kern w:val="2"/>
          <w:sz w:val="33"/>
          <w:szCs w:val="33"/>
          <w:highlight w:val="none"/>
          <w:lang w:val="en-US" w:eastAsia="zh-CN"/>
        </w:rPr>
        <w:t>支出</w:t>
      </w:r>
      <w:r>
        <w:rPr>
          <w:rFonts w:hint="eastAsia" w:ascii="Times New Roman" w:hAnsi="Times New Roman" w:eastAsia="方正仿宋_GBK" w:cs="方正仿宋_GBK"/>
          <w:color w:val="000000"/>
          <w:kern w:val="2"/>
          <w:sz w:val="33"/>
          <w:szCs w:val="33"/>
          <w:highlight w:val="none"/>
          <w:lang w:val="en-US"/>
        </w:rPr>
        <w:t>。</w:t>
      </w:r>
    </w:p>
    <w:p w14:paraId="5C358D1F">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11.</w:t>
      </w:r>
      <w:r>
        <w:rPr>
          <w:rFonts w:hint="eastAsia" w:ascii="Times New Roman" w:hAnsi="Times New Roman" w:eastAsia="方正仿宋_GBK" w:cs="方正仿宋_GBK"/>
          <w:b/>
          <w:color w:val="000000"/>
          <w:kern w:val="2"/>
          <w:sz w:val="33"/>
          <w:szCs w:val="33"/>
          <w:highlight w:val="none"/>
          <w:lang w:val="en-US"/>
        </w:rPr>
        <w:t>一般公共服务支出（类）财政事务（款）</w:t>
      </w:r>
      <w:r>
        <w:rPr>
          <w:rFonts w:hint="eastAsia" w:ascii="Times New Roman" w:hAnsi="Times New Roman" w:eastAsia="方正仿宋_GBK" w:cs="方正仿宋_GBK"/>
          <w:b/>
          <w:color w:val="000000"/>
          <w:kern w:val="2"/>
          <w:sz w:val="33"/>
          <w:szCs w:val="33"/>
          <w:highlight w:val="none"/>
          <w:lang w:val="en-US" w:eastAsia="zh-CN"/>
        </w:rPr>
        <w:t>其他财政事务支出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auto"/>
          <w:kern w:val="2"/>
          <w:sz w:val="33"/>
          <w:szCs w:val="33"/>
          <w:highlight w:val="none"/>
          <w:lang w:val="en-US" w:eastAsia="zh-CN"/>
        </w:rPr>
        <w:t>财务管理专项经费支出</w:t>
      </w:r>
      <w:r>
        <w:rPr>
          <w:rFonts w:hint="eastAsia" w:ascii="Times New Roman" w:hAnsi="Times New Roman" w:eastAsia="方正仿宋_GBK" w:cs="方正仿宋_GBK"/>
          <w:color w:val="000000"/>
          <w:kern w:val="2"/>
          <w:sz w:val="33"/>
          <w:szCs w:val="33"/>
          <w:highlight w:val="none"/>
          <w:lang w:val="en-US" w:eastAsia="zh-CN"/>
        </w:rPr>
        <w:t>新增和地方政府工作报告专项合同债券项目服务费支出</w:t>
      </w:r>
      <w:r>
        <w:rPr>
          <w:rFonts w:hint="eastAsia" w:ascii="Times New Roman" w:hAnsi="Times New Roman" w:eastAsia="方正仿宋_GBK" w:cs="方正仿宋_GBK"/>
          <w:color w:val="auto"/>
          <w:kern w:val="2"/>
          <w:sz w:val="33"/>
          <w:szCs w:val="33"/>
          <w:highlight w:val="none"/>
          <w:lang w:val="en-US"/>
        </w:rPr>
        <w:t>。</w:t>
      </w:r>
    </w:p>
    <w:p w14:paraId="0B682650">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方正仿宋_GBK"/>
          <w:color w:val="auto"/>
          <w:kern w:val="2"/>
          <w:sz w:val="33"/>
          <w:szCs w:val="33"/>
          <w:highlight w:val="none"/>
          <w:lang w:val="en-US" w:eastAsia="zh-CN"/>
        </w:rPr>
      </w:pPr>
      <w:r>
        <w:rPr>
          <w:rFonts w:hint="eastAsia" w:ascii="Times New Roman" w:hAnsi="Times New Roman" w:eastAsia="方正仿宋_GBK" w:cs="方正仿宋_GBK"/>
          <w:b/>
          <w:color w:val="000000"/>
          <w:kern w:val="2"/>
          <w:sz w:val="33"/>
          <w:szCs w:val="33"/>
          <w:highlight w:val="none"/>
          <w:lang w:val="en-US" w:eastAsia="zh-CN"/>
        </w:rPr>
        <w:t>12.一般</w:t>
      </w:r>
      <w:r>
        <w:rPr>
          <w:rFonts w:hint="eastAsia" w:ascii="Times New Roman" w:hAnsi="Times New Roman" w:eastAsia="方正仿宋_GBK" w:cs="方正仿宋_GBK"/>
          <w:b/>
          <w:color w:val="000000"/>
          <w:kern w:val="2"/>
          <w:sz w:val="33"/>
          <w:szCs w:val="33"/>
          <w:highlight w:val="none"/>
          <w:lang w:val="en-US"/>
        </w:rPr>
        <w:t>公共服务支出（类）</w:t>
      </w:r>
      <w:r>
        <w:rPr>
          <w:rFonts w:hint="eastAsia" w:ascii="Times New Roman" w:hAnsi="Times New Roman" w:eastAsia="方正仿宋_GBK" w:cs="方正仿宋_GBK"/>
          <w:b/>
          <w:color w:val="000000"/>
          <w:kern w:val="2"/>
          <w:sz w:val="33"/>
          <w:szCs w:val="33"/>
          <w:highlight w:val="none"/>
          <w:lang w:val="en-US" w:eastAsia="zh-CN"/>
        </w:rPr>
        <w:t>组织事务</w:t>
      </w:r>
      <w:r>
        <w:rPr>
          <w:rFonts w:hint="eastAsia" w:ascii="Times New Roman" w:hAnsi="Times New Roman" w:eastAsia="方正仿宋_GBK" w:cs="方正仿宋_GBK"/>
          <w:b/>
          <w:color w:val="000000"/>
          <w:kern w:val="2"/>
          <w:sz w:val="33"/>
          <w:szCs w:val="33"/>
          <w:highlight w:val="none"/>
          <w:lang w:val="en-US"/>
        </w:rPr>
        <w:t>（款）</w:t>
      </w:r>
      <w:r>
        <w:rPr>
          <w:rFonts w:hint="eastAsia" w:ascii="Times New Roman" w:hAnsi="Times New Roman" w:eastAsia="方正仿宋_GBK" w:cs="方正仿宋_GBK"/>
          <w:b/>
          <w:color w:val="000000"/>
          <w:kern w:val="2"/>
          <w:sz w:val="33"/>
          <w:szCs w:val="33"/>
          <w:highlight w:val="none"/>
          <w:lang w:val="en-US" w:eastAsia="zh-CN"/>
        </w:rPr>
        <w:t>其他组织事务支出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b/>
          <w:color w:val="000000"/>
          <w:kern w:val="2"/>
          <w:sz w:val="33"/>
          <w:szCs w:val="33"/>
          <w:highlight w:val="none"/>
          <w:lang w:val="en-US" w:eastAsia="zh-CN"/>
        </w:rPr>
        <w:t>:</w:t>
      </w:r>
      <w:r>
        <w:rPr>
          <w:rFonts w:hint="eastAsia" w:ascii="Times New Roman" w:hAnsi="Times New Roman" w:eastAsia="方正仿宋_GBK" w:cs="方正仿宋_GBK"/>
          <w:color w:val="000000"/>
          <w:kern w:val="2"/>
          <w:sz w:val="33"/>
          <w:szCs w:val="33"/>
          <w:highlight w:val="none"/>
          <w:lang w:val="en-US" w:eastAsia="zh-CN"/>
        </w:rPr>
        <w:t>指引进高层次人才补助支出。</w:t>
      </w:r>
    </w:p>
    <w:p w14:paraId="3842B2F5">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13.</w:t>
      </w:r>
      <w:r>
        <w:rPr>
          <w:rFonts w:hint="eastAsia" w:ascii="Times New Roman" w:hAnsi="Times New Roman" w:eastAsia="方正仿宋_GBK" w:cs="方正仿宋_GBK"/>
          <w:b/>
          <w:color w:val="000000"/>
          <w:kern w:val="2"/>
          <w:sz w:val="33"/>
          <w:szCs w:val="33"/>
          <w:highlight w:val="none"/>
          <w:lang w:val="en-US"/>
        </w:rPr>
        <w:t>社会保障和就业支出（类）行政事业单位养老支出（款）</w:t>
      </w:r>
      <w:r>
        <w:rPr>
          <w:rFonts w:hint="eastAsia" w:ascii="Times New Roman" w:hAnsi="Times New Roman" w:eastAsia="方正仿宋_GBK" w:cs="方正仿宋_GBK"/>
          <w:b/>
          <w:color w:val="000000"/>
          <w:kern w:val="2"/>
          <w:sz w:val="33"/>
          <w:szCs w:val="33"/>
          <w:highlight w:val="none"/>
          <w:lang w:val="en-US" w:eastAsia="zh-CN"/>
        </w:rPr>
        <w:t>机关事业单位基本养老保险缴费支出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指</w:t>
      </w:r>
      <w:r>
        <w:rPr>
          <w:rFonts w:hint="eastAsia" w:ascii="Times New Roman" w:hAnsi="Times New Roman" w:eastAsia="方正仿宋_GBK" w:cs="方正仿宋_GBK"/>
          <w:color w:val="000000"/>
          <w:kern w:val="2"/>
          <w:sz w:val="33"/>
          <w:szCs w:val="33"/>
          <w:highlight w:val="none"/>
          <w:lang w:val="en-US" w:eastAsia="zh-CN"/>
        </w:rPr>
        <w:t>财政局在职在编人员养老保险单位部分支出</w:t>
      </w:r>
      <w:r>
        <w:rPr>
          <w:rFonts w:hint="eastAsia" w:ascii="Times New Roman" w:hAnsi="Times New Roman" w:eastAsia="方正仿宋_GBK" w:cs="方正仿宋_GBK"/>
          <w:color w:val="000000"/>
          <w:kern w:val="2"/>
          <w:sz w:val="33"/>
          <w:szCs w:val="33"/>
          <w:highlight w:val="none"/>
          <w:lang w:val="en-US"/>
        </w:rPr>
        <w:t>。</w:t>
      </w:r>
    </w:p>
    <w:p w14:paraId="02FB5DB6">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方正仿宋_GBK"/>
          <w:color w:val="auto"/>
          <w:kern w:val="2"/>
          <w:sz w:val="33"/>
          <w:szCs w:val="33"/>
          <w:highlight w:val="none"/>
          <w:lang w:val="en-US" w:eastAsia="zh-CN"/>
        </w:rPr>
      </w:pPr>
      <w:r>
        <w:rPr>
          <w:rFonts w:hint="eastAsia" w:ascii="Times New Roman" w:hAnsi="Times New Roman" w:eastAsia="方正仿宋_GBK" w:cs="方正仿宋_GBK"/>
          <w:b/>
          <w:color w:val="000000"/>
          <w:kern w:val="2"/>
          <w:sz w:val="33"/>
          <w:szCs w:val="33"/>
          <w:highlight w:val="none"/>
          <w:lang w:val="en-US" w:eastAsia="zh-CN"/>
        </w:rPr>
        <w:t>14.</w:t>
      </w:r>
      <w:r>
        <w:rPr>
          <w:rFonts w:hint="eastAsia" w:ascii="Times New Roman" w:hAnsi="Times New Roman" w:eastAsia="方正仿宋_GBK" w:cs="方正仿宋_GBK"/>
          <w:b/>
          <w:color w:val="000000"/>
          <w:kern w:val="2"/>
          <w:sz w:val="33"/>
          <w:szCs w:val="33"/>
          <w:highlight w:val="none"/>
          <w:lang w:val="en-US"/>
        </w:rPr>
        <w:t>社会保障和就业支出（类）行政事业单位养老支出（款）</w:t>
      </w:r>
      <w:r>
        <w:rPr>
          <w:rFonts w:hint="eastAsia" w:ascii="Times New Roman" w:hAnsi="Times New Roman" w:eastAsia="方正仿宋_GBK" w:cs="方正仿宋_GBK"/>
          <w:b/>
          <w:color w:val="000000"/>
          <w:kern w:val="2"/>
          <w:sz w:val="33"/>
          <w:szCs w:val="33"/>
          <w:highlight w:val="none"/>
          <w:lang w:val="en-US" w:eastAsia="zh-CN"/>
        </w:rPr>
        <w:t>机关事业单位职业年金缴费支出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w:t>
      </w:r>
      <w:r>
        <w:rPr>
          <w:rFonts w:hint="eastAsia" w:ascii="Times New Roman" w:hAnsi="Times New Roman" w:eastAsia="方正仿宋_GBK" w:cs="方正仿宋_GBK"/>
          <w:color w:val="000000"/>
          <w:kern w:val="2"/>
          <w:sz w:val="33"/>
          <w:szCs w:val="33"/>
          <w:highlight w:val="none"/>
          <w:lang w:val="en-US" w:eastAsia="zh-CN"/>
        </w:rPr>
        <w:t>财政局在职退休、调出区外人员</w:t>
      </w:r>
      <w:r>
        <w:rPr>
          <w:rFonts w:hint="eastAsia" w:ascii="Times New Roman" w:hAnsi="Times New Roman" w:eastAsia="方正仿宋_GBK" w:cs="方正仿宋_GBK"/>
          <w:color w:val="auto"/>
          <w:kern w:val="2"/>
          <w:sz w:val="33"/>
          <w:szCs w:val="33"/>
          <w:highlight w:val="none"/>
          <w:lang w:val="en-US" w:eastAsia="zh-CN"/>
        </w:rPr>
        <w:t>职业年金记实支出</w:t>
      </w:r>
      <w:r>
        <w:rPr>
          <w:rFonts w:hint="eastAsia" w:ascii="Times New Roman" w:hAnsi="Times New Roman" w:eastAsia="方正仿宋_GBK" w:cs="方正仿宋_GBK"/>
          <w:color w:val="auto"/>
          <w:kern w:val="2"/>
          <w:sz w:val="33"/>
          <w:szCs w:val="33"/>
          <w:highlight w:val="none"/>
          <w:lang w:val="en-US"/>
        </w:rPr>
        <w:t>。</w:t>
      </w:r>
    </w:p>
    <w:p w14:paraId="5AE0046B">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 xml:space="preserve"> 15.</w:t>
      </w:r>
      <w:r>
        <w:rPr>
          <w:rFonts w:hint="eastAsia" w:ascii="Times New Roman" w:hAnsi="Times New Roman" w:eastAsia="方正仿宋_GBK" w:cs="方正仿宋_GBK"/>
          <w:b/>
          <w:color w:val="000000"/>
          <w:kern w:val="2"/>
          <w:sz w:val="33"/>
          <w:szCs w:val="33"/>
          <w:highlight w:val="none"/>
          <w:lang w:val="en-US"/>
        </w:rPr>
        <w:t>社会保障和就业支出（类）其他社会保障和就业支出（款）</w:t>
      </w:r>
      <w:r>
        <w:rPr>
          <w:rFonts w:hint="eastAsia" w:ascii="Times New Roman" w:hAnsi="Times New Roman" w:eastAsia="方正仿宋_GBK" w:cs="方正仿宋_GBK"/>
          <w:b/>
          <w:color w:val="000000"/>
          <w:kern w:val="2"/>
          <w:sz w:val="33"/>
          <w:szCs w:val="33"/>
          <w:highlight w:val="none"/>
          <w:lang w:val="en-US" w:eastAsia="zh-CN"/>
        </w:rPr>
        <w:t>其他社会保障和就业支出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指</w:t>
      </w:r>
      <w:r>
        <w:rPr>
          <w:rFonts w:hint="eastAsia" w:ascii="Times New Roman" w:hAnsi="Times New Roman" w:eastAsia="方正仿宋_GBK" w:cs="方正仿宋_GBK"/>
          <w:color w:val="000000"/>
          <w:kern w:val="2"/>
          <w:sz w:val="33"/>
          <w:szCs w:val="33"/>
          <w:highlight w:val="none"/>
          <w:lang w:val="en-US" w:eastAsia="zh-CN"/>
        </w:rPr>
        <w:t>退休人员相关费用支出</w:t>
      </w:r>
      <w:r>
        <w:rPr>
          <w:rFonts w:hint="eastAsia" w:ascii="Times New Roman" w:hAnsi="Times New Roman" w:eastAsia="方正仿宋_GBK" w:cs="方正仿宋_GBK"/>
          <w:color w:val="000000"/>
          <w:kern w:val="2"/>
          <w:sz w:val="33"/>
          <w:szCs w:val="33"/>
          <w:highlight w:val="none"/>
          <w:lang w:val="en-US"/>
        </w:rPr>
        <w:t>。</w:t>
      </w:r>
    </w:p>
    <w:p w14:paraId="336F89DF">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16.</w:t>
      </w:r>
      <w:r>
        <w:rPr>
          <w:rFonts w:hint="eastAsia" w:ascii="Times New Roman" w:hAnsi="Times New Roman" w:eastAsia="方正仿宋_GBK" w:cs="方正仿宋_GBK"/>
          <w:b/>
          <w:color w:val="000000"/>
          <w:kern w:val="2"/>
          <w:sz w:val="33"/>
          <w:szCs w:val="33"/>
          <w:highlight w:val="none"/>
          <w:lang w:val="en-US"/>
        </w:rPr>
        <w:t>卫生健康支出（类）行政事业单位医疗（款）</w:t>
      </w:r>
      <w:r>
        <w:rPr>
          <w:rFonts w:hint="eastAsia" w:ascii="Times New Roman" w:hAnsi="Times New Roman" w:eastAsia="方正仿宋_GBK" w:cs="方正仿宋_GBK"/>
          <w:b/>
          <w:color w:val="000000"/>
          <w:kern w:val="2"/>
          <w:sz w:val="33"/>
          <w:szCs w:val="33"/>
          <w:highlight w:val="none"/>
          <w:lang w:val="en-US" w:eastAsia="zh-CN"/>
        </w:rPr>
        <w:t>行政单位医疗</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指</w:t>
      </w:r>
      <w:r>
        <w:rPr>
          <w:rFonts w:hint="eastAsia" w:ascii="Times New Roman" w:hAnsi="Times New Roman" w:eastAsia="方正仿宋_GBK" w:cs="方正仿宋_GBK"/>
          <w:color w:val="000000"/>
          <w:kern w:val="2"/>
          <w:sz w:val="33"/>
          <w:szCs w:val="33"/>
          <w:highlight w:val="none"/>
          <w:lang w:val="en-US" w:eastAsia="zh-CN"/>
        </w:rPr>
        <w:t>财政局公务员及参公管理人员医疗保险单位部分支出</w:t>
      </w:r>
      <w:r>
        <w:rPr>
          <w:rFonts w:hint="eastAsia" w:ascii="Times New Roman" w:hAnsi="Times New Roman" w:eastAsia="方正仿宋_GBK" w:cs="方正仿宋_GBK"/>
          <w:color w:val="000000"/>
          <w:kern w:val="2"/>
          <w:sz w:val="33"/>
          <w:szCs w:val="33"/>
          <w:highlight w:val="none"/>
          <w:lang w:val="en-US"/>
        </w:rPr>
        <w:t>。</w:t>
      </w:r>
    </w:p>
    <w:p w14:paraId="50446C34">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17.</w:t>
      </w:r>
      <w:r>
        <w:rPr>
          <w:rFonts w:hint="eastAsia" w:ascii="Times New Roman" w:hAnsi="Times New Roman" w:eastAsia="方正仿宋_GBK" w:cs="方正仿宋_GBK"/>
          <w:b/>
          <w:color w:val="000000"/>
          <w:kern w:val="2"/>
          <w:sz w:val="33"/>
          <w:szCs w:val="33"/>
          <w:highlight w:val="none"/>
          <w:lang w:val="en-US"/>
        </w:rPr>
        <w:t>卫生健康支出（类）行政事业单位医疗（款）</w:t>
      </w:r>
      <w:r>
        <w:rPr>
          <w:rFonts w:hint="eastAsia" w:ascii="Times New Roman" w:hAnsi="Times New Roman" w:eastAsia="方正仿宋_GBK" w:cs="方正仿宋_GBK"/>
          <w:b/>
          <w:color w:val="000000"/>
          <w:kern w:val="2"/>
          <w:sz w:val="33"/>
          <w:szCs w:val="33"/>
          <w:highlight w:val="none"/>
          <w:lang w:val="en-US" w:eastAsia="zh-CN"/>
        </w:rPr>
        <w:t>事业单位医疗</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指</w:t>
      </w:r>
      <w:r>
        <w:rPr>
          <w:rFonts w:hint="eastAsia" w:ascii="Times New Roman" w:hAnsi="Times New Roman" w:eastAsia="方正仿宋_GBK" w:cs="方正仿宋_GBK"/>
          <w:color w:val="000000"/>
          <w:kern w:val="2"/>
          <w:sz w:val="33"/>
          <w:szCs w:val="33"/>
          <w:highlight w:val="none"/>
          <w:lang w:val="en-US" w:eastAsia="zh-CN"/>
        </w:rPr>
        <w:t>财政局事业人员医疗保险单位部分支出</w:t>
      </w:r>
      <w:r>
        <w:rPr>
          <w:rFonts w:hint="eastAsia" w:ascii="Times New Roman" w:hAnsi="Times New Roman" w:eastAsia="方正仿宋_GBK" w:cs="方正仿宋_GBK"/>
          <w:color w:val="000000"/>
          <w:kern w:val="2"/>
          <w:sz w:val="33"/>
          <w:szCs w:val="33"/>
          <w:highlight w:val="none"/>
          <w:lang w:val="en-US"/>
        </w:rPr>
        <w:t>。</w:t>
      </w:r>
    </w:p>
    <w:p w14:paraId="7EBF757A">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18.</w:t>
      </w:r>
      <w:r>
        <w:rPr>
          <w:rFonts w:hint="eastAsia" w:ascii="Times New Roman" w:hAnsi="Times New Roman" w:eastAsia="方正仿宋_GBK" w:cs="方正仿宋_GBK"/>
          <w:b/>
          <w:color w:val="000000"/>
          <w:kern w:val="2"/>
          <w:sz w:val="33"/>
          <w:szCs w:val="33"/>
          <w:highlight w:val="none"/>
          <w:lang w:val="en-US"/>
        </w:rPr>
        <w:t>卫生健康支出（类）行政事业单位医疗（款）</w:t>
      </w:r>
      <w:r>
        <w:rPr>
          <w:rFonts w:hint="eastAsia" w:ascii="Times New Roman" w:hAnsi="Times New Roman" w:eastAsia="方正仿宋_GBK" w:cs="方正仿宋_GBK"/>
          <w:b/>
          <w:color w:val="000000"/>
          <w:kern w:val="2"/>
          <w:sz w:val="33"/>
          <w:szCs w:val="33"/>
          <w:highlight w:val="none"/>
          <w:lang w:val="en-US" w:eastAsia="zh-CN"/>
        </w:rPr>
        <w:t>公务员医疗补助</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指</w:t>
      </w:r>
      <w:r>
        <w:rPr>
          <w:rFonts w:hint="eastAsia" w:ascii="Times New Roman" w:hAnsi="Times New Roman" w:eastAsia="方正仿宋_GBK" w:cs="方正仿宋_GBK"/>
          <w:color w:val="000000"/>
          <w:kern w:val="2"/>
          <w:sz w:val="33"/>
          <w:szCs w:val="33"/>
          <w:highlight w:val="none"/>
          <w:lang w:val="en-US" w:eastAsia="zh-CN"/>
        </w:rPr>
        <w:t>财政局公务员及参公管理人员医疗补助支出</w:t>
      </w:r>
      <w:r>
        <w:rPr>
          <w:rFonts w:hint="eastAsia" w:ascii="Times New Roman" w:hAnsi="Times New Roman" w:eastAsia="方正仿宋_GBK" w:cs="方正仿宋_GBK"/>
          <w:color w:val="000000"/>
          <w:kern w:val="2"/>
          <w:sz w:val="33"/>
          <w:szCs w:val="33"/>
          <w:highlight w:val="none"/>
          <w:lang w:val="en-US"/>
        </w:rPr>
        <w:t>。</w:t>
      </w:r>
    </w:p>
    <w:p w14:paraId="17C52D3D">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19.</w:t>
      </w:r>
      <w:r>
        <w:rPr>
          <w:rFonts w:hint="eastAsia" w:ascii="Times New Roman" w:hAnsi="Times New Roman" w:eastAsia="方正仿宋_GBK" w:cs="方正仿宋_GBK"/>
          <w:b/>
          <w:color w:val="000000"/>
          <w:kern w:val="2"/>
          <w:sz w:val="33"/>
          <w:szCs w:val="33"/>
          <w:highlight w:val="none"/>
          <w:lang w:val="en-US"/>
        </w:rPr>
        <w:t>农林水支出（类）</w:t>
      </w:r>
      <w:r>
        <w:rPr>
          <w:rFonts w:hint="eastAsia" w:ascii="Times New Roman" w:hAnsi="Times New Roman" w:eastAsia="方正仿宋_GBK" w:cs="方正仿宋_GBK"/>
          <w:b/>
          <w:color w:val="000000"/>
          <w:kern w:val="2"/>
          <w:sz w:val="33"/>
          <w:szCs w:val="33"/>
          <w:highlight w:val="none"/>
          <w:lang w:val="en-US" w:eastAsia="zh-CN"/>
        </w:rPr>
        <w:t>巩固脱贫攻坚成果衔接乡村振兴</w:t>
      </w:r>
      <w:r>
        <w:rPr>
          <w:rFonts w:hint="eastAsia" w:ascii="Times New Roman" w:hAnsi="Times New Roman" w:eastAsia="方正仿宋_GBK" w:cs="方正仿宋_GBK"/>
          <w:b/>
          <w:color w:val="000000"/>
          <w:kern w:val="2"/>
          <w:sz w:val="33"/>
          <w:szCs w:val="33"/>
          <w:highlight w:val="none"/>
          <w:lang w:val="en-US"/>
        </w:rPr>
        <w:t>（款）</w:t>
      </w:r>
      <w:r>
        <w:rPr>
          <w:rFonts w:hint="eastAsia" w:ascii="Times New Roman" w:hAnsi="Times New Roman" w:eastAsia="方正仿宋_GBK" w:cs="方正仿宋_GBK"/>
          <w:b/>
          <w:color w:val="000000"/>
          <w:kern w:val="2"/>
          <w:sz w:val="33"/>
          <w:szCs w:val="33"/>
          <w:highlight w:val="none"/>
          <w:lang w:val="en-US" w:eastAsia="zh-CN"/>
        </w:rPr>
        <w:t>其他巩固脱贫攻坚成果衔接乡村振兴支出</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指</w:t>
      </w:r>
      <w:r>
        <w:rPr>
          <w:rFonts w:hint="eastAsia" w:ascii="Times New Roman" w:hAnsi="Times New Roman" w:eastAsia="方正仿宋_GBK" w:cs="方正仿宋_GBK"/>
          <w:color w:val="000000"/>
          <w:kern w:val="2"/>
          <w:sz w:val="33"/>
          <w:szCs w:val="33"/>
          <w:highlight w:val="none"/>
          <w:lang w:val="en-US" w:eastAsia="zh-CN"/>
        </w:rPr>
        <w:t>财政局扶贫驻村人员费用支出</w:t>
      </w:r>
      <w:r>
        <w:rPr>
          <w:rFonts w:hint="eastAsia" w:ascii="Times New Roman" w:hAnsi="Times New Roman" w:eastAsia="方正仿宋_GBK" w:cs="方正仿宋_GBK"/>
          <w:color w:val="000000"/>
          <w:kern w:val="2"/>
          <w:sz w:val="33"/>
          <w:szCs w:val="33"/>
          <w:highlight w:val="none"/>
          <w:lang w:val="en-US"/>
        </w:rPr>
        <w:t>。</w:t>
      </w:r>
    </w:p>
    <w:p w14:paraId="2B415A57">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rPr>
      </w:pPr>
      <w:r>
        <w:rPr>
          <w:rFonts w:hint="eastAsia" w:ascii="Times New Roman" w:hAnsi="Times New Roman" w:eastAsia="方正仿宋_GBK" w:cs="方正仿宋_GBK"/>
          <w:b/>
          <w:color w:val="000000"/>
          <w:kern w:val="2"/>
          <w:sz w:val="33"/>
          <w:szCs w:val="33"/>
          <w:highlight w:val="none"/>
          <w:lang w:val="en-US" w:eastAsia="zh-CN"/>
        </w:rPr>
        <w:t>20.</w:t>
      </w:r>
      <w:r>
        <w:rPr>
          <w:rFonts w:hint="eastAsia" w:ascii="Times New Roman" w:hAnsi="Times New Roman" w:eastAsia="方正仿宋_GBK" w:cs="方正仿宋_GBK"/>
          <w:b/>
          <w:color w:val="000000"/>
          <w:kern w:val="2"/>
          <w:sz w:val="33"/>
          <w:szCs w:val="33"/>
          <w:highlight w:val="none"/>
          <w:lang w:val="en-US"/>
        </w:rPr>
        <w:t>住房保障支出（类）住房改革支出（款）</w:t>
      </w:r>
      <w:r>
        <w:rPr>
          <w:rFonts w:hint="eastAsia" w:ascii="Times New Roman" w:hAnsi="Times New Roman" w:eastAsia="方正仿宋_GBK" w:cs="方正仿宋_GBK"/>
          <w:b/>
          <w:color w:val="000000"/>
          <w:kern w:val="2"/>
          <w:sz w:val="33"/>
          <w:szCs w:val="33"/>
          <w:highlight w:val="none"/>
          <w:lang w:val="en-US" w:eastAsia="zh-CN"/>
        </w:rPr>
        <w:t>住房公积金</w:t>
      </w:r>
      <w:r>
        <w:rPr>
          <w:rFonts w:hint="eastAsia" w:ascii="Times New Roman" w:hAnsi="Times New Roman" w:eastAsia="方正仿宋_GBK" w:cs="方正仿宋_GBK"/>
          <w:b/>
          <w:color w:val="000000"/>
          <w:kern w:val="2"/>
          <w:sz w:val="33"/>
          <w:szCs w:val="33"/>
          <w:highlight w:val="none"/>
          <w:lang w:val="en-US"/>
        </w:rPr>
        <w:t>（项）:</w:t>
      </w:r>
      <w:r>
        <w:rPr>
          <w:rFonts w:hint="eastAsia" w:ascii="Times New Roman" w:hAnsi="Times New Roman" w:eastAsia="方正仿宋_GBK" w:cs="方正仿宋_GBK"/>
          <w:color w:val="000000"/>
          <w:kern w:val="2"/>
          <w:sz w:val="33"/>
          <w:szCs w:val="33"/>
          <w:highlight w:val="none"/>
          <w:lang w:val="en-US"/>
        </w:rPr>
        <w:t xml:space="preserve"> 指</w:t>
      </w:r>
      <w:r>
        <w:rPr>
          <w:rFonts w:hint="eastAsia" w:ascii="Times New Roman" w:hAnsi="Times New Roman" w:eastAsia="方正仿宋_GBK" w:cs="方正仿宋_GBK"/>
          <w:color w:val="000000"/>
          <w:kern w:val="2"/>
          <w:sz w:val="33"/>
          <w:szCs w:val="33"/>
          <w:highlight w:val="none"/>
          <w:lang w:val="en-US" w:eastAsia="zh-CN"/>
        </w:rPr>
        <w:t>财政局在编在职人员住房公积金单位配套部分支出</w:t>
      </w:r>
      <w:r>
        <w:rPr>
          <w:rFonts w:hint="eastAsia" w:ascii="Times New Roman" w:hAnsi="Times New Roman" w:eastAsia="方正仿宋_GBK" w:cs="方正仿宋_GBK"/>
          <w:color w:val="000000"/>
          <w:kern w:val="2"/>
          <w:sz w:val="33"/>
          <w:szCs w:val="33"/>
          <w:highlight w:val="none"/>
          <w:lang w:val="en-US"/>
        </w:rPr>
        <w:t>。</w:t>
      </w:r>
    </w:p>
    <w:p w14:paraId="4A7B307A">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21.基本支出：</w:t>
      </w:r>
      <w:r>
        <w:rPr>
          <w:rFonts w:hint="eastAsia" w:ascii="Times New Roman" w:hAnsi="Times New Roman" w:eastAsia="方正仿宋_GBK" w:cs="方正仿宋_GBK"/>
          <w:color w:val="auto"/>
          <w:kern w:val="2"/>
          <w:sz w:val="33"/>
          <w:szCs w:val="33"/>
          <w:highlight w:val="none"/>
          <w:lang w:val="en-US" w:eastAsia="zh-CN" w:bidi="ar-SA"/>
        </w:rPr>
        <w:t>指为保障机构正常运转、完成日常工作任务而发生的人员支出和公用支出。</w:t>
      </w:r>
    </w:p>
    <w:p w14:paraId="59EED2C8">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22.项目支出：</w:t>
      </w:r>
      <w:r>
        <w:rPr>
          <w:rFonts w:hint="eastAsia" w:ascii="Times New Roman" w:hAnsi="Times New Roman" w:eastAsia="方正仿宋_GBK" w:cs="方正仿宋_GBK"/>
          <w:color w:val="auto"/>
          <w:kern w:val="2"/>
          <w:sz w:val="33"/>
          <w:szCs w:val="33"/>
          <w:highlight w:val="none"/>
          <w:lang w:val="en-US" w:eastAsia="zh-CN" w:bidi="ar-SA"/>
        </w:rPr>
        <w:t xml:space="preserve">指在基本支出之外为完成特定行政任务和事业发展目标所发生的支出。 </w:t>
      </w:r>
    </w:p>
    <w:p w14:paraId="7F4B25E0">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23.经营支出：</w:t>
      </w:r>
      <w:r>
        <w:rPr>
          <w:rFonts w:hint="eastAsia" w:ascii="Times New Roman" w:hAnsi="Times New Roman" w:eastAsia="方正仿宋_GBK" w:cs="方正仿宋_GBK"/>
          <w:color w:val="auto"/>
          <w:kern w:val="2"/>
          <w:sz w:val="33"/>
          <w:szCs w:val="33"/>
          <w:highlight w:val="none"/>
          <w:lang w:val="en-US" w:eastAsia="zh-CN" w:bidi="ar-SA"/>
        </w:rPr>
        <w:t>指事业单位在专业业务活动及其辅助活动之外开展非独立核算经营活动发生的支出。</w:t>
      </w:r>
    </w:p>
    <w:p w14:paraId="252D9CDE">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auto"/>
          <w:kern w:val="2"/>
          <w:sz w:val="33"/>
          <w:szCs w:val="33"/>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24.“三公”经费：</w:t>
      </w:r>
      <w:r>
        <w:rPr>
          <w:rFonts w:hint="eastAsia" w:ascii="Times New Roman" w:hAnsi="Times New Roman" w:eastAsia="方正仿宋_GBK" w:cs="方正仿宋_GBK"/>
          <w:color w:val="auto"/>
          <w:kern w:val="2"/>
          <w:sz w:val="33"/>
          <w:szCs w:val="33"/>
          <w:highlight w:val="none"/>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B8334D0">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方正仿宋_GBK"/>
          <w:b/>
          <w:color w:val="000000"/>
          <w:kern w:val="2"/>
          <w:sz w:val="33"/>
          <w:szCs w:val="33"/>
          <w:highlight w:val="none"/>
          <w:lang w:val="en-US" w:eastAsia="zh-CN"/>
        </w:rPr>
        <w:t>25.机关运行经费：</w:t>
      </w:r>
      <w:r>
        <w:rPr>
          <w:rFonts w:hint="eastAsia" w:ascii="Times New Roman" w:hAnsi="Times New Roman" w:eastAsia="方正仿宋_GBK" w:cs="方正仿宋_GBK"/>
          <w:color w:val="auto"/>
          <w:kern w:val="2"/>
          <w:sz w:val="33"/>
          <w:szCs w:val="33"/>
          <w:highlight w:val="none"/>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A1370CA">
      <w:pPr>
        <w:keepNext/>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0"/>
        <w:rPr>
          <w:rStyle w:val="30"/>
          <w:rFonts w:hint="eastAsia" w:ascii="Times New Roman" w:hAnsi="Times New Roman" w:eastAsia="黑体"/>
          <w:b w:val="0"/>
          <w:color w:val="auto"/>
          <w:highlight w:val="none"/>
          <w:lang w:eastAsia="zh-CN"/>
        </w:rPr>
      </w:pPr>
      <w:bookmarkStart w:id="49"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0" w:name="_Toc15396614"/>
      <w:r>
        <w:rPr>
          <w:rFonts w:hint="eastAsia" w:ascii="方正小标宋_GBK" w:hAnsi="方正小标宋_GBK" w:eastAsia="方正小标宋_GBK" w:cs="方正小标宋_GBK"/>
          <w:color w:val="auto"/>
          <w:sz w:val="44"/>
          <w:szCs w:val="44"/>
          <w:highlight w:val="none"/>
          <w:lang w:val="en-US" w:eastAsia="zh-CN"/>
        </w:rPr>
        <w:t>第四部分  附件</w:t>
      </w:r>
      <w:bookmarkEnd w:id="50"/>
    </w:p>
    <w:p w14:paraId="28B1F109">
      <w:pPr>
        <w:keepNext/>
        <w:keepLines w:val="0"/>
        <w:pageBreakBefore w:val="0"/>
        <w:widowControl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4B251F0">
      <w:pPr>
        <w:keepNext/>
        <w:keepLines w:val="0"/>
        <w:pageBreakBefore w:val="0"/>
        <w:widowControl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772FCEC">
      <w:pPr>
        <w:keepNext/>
        <w:keepLines w:val="0"/>
        <w:pageBreakBefore w:val="0"/>
        <w:widowControl w:val="0"/>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579255B">
      <w:pPr>
        <w:keepNext/>
        <w:keepLines w:val="0"/>
        <w:pageBreakBefore w:val="0"/>
        <w:widowControl w:val="0"/>
        <w:kinsoku/>
        <w:wordWrap/>
        <w:overflowPunct/>
        <w:topLinePunct w:val="0"/>
        <w:autoSpaceDE/>
        <w:autoSpaceDN/>
        <w:bidi w:val="0"/>
        <w:adjustRightInd/>
        <w:snapToGrid/>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Style w:val="37"/>
          <w:rFonts w:hint="eastAsia" w:ascii="方正小标宋_GBK" w:hAnsi="方正小标宋_GBK" w:eastAsia="方正小标宋_GBK" w:cs="方正小标宋_GBK"/>
          <w:b w:val="0"/>
          <w:bCs w:val="0"/>
          <w:highlight w:val="none"/>
          <w:lang w:eastAsia="zh-CN"/>
        </w:rPr>
        <w:t>广安市前锋区财政局</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9D67275">
      <w:pPr>
        <w:keepNext/>
        <w:keepLines w:val="0"/>
        <w:pageBreakBefore w:val="0"/>
        <w:widowControl w:val="0"/>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4A4D31D">
      <w:pPr>
        <w:keepNext/>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outlineLvl w:val="9"/>
        <w:rPr>
          <w:rFonts w:hint="eastAsia" w:ascii="方正黑体_GBK" w:hAnsi="方正黑体_GBK" w:eastAsia="方正黑体_GBK" w:cs="方正黑体_GBK"/>
          <w:color w:val="000000"/>
          <w:kern w:val="0"/>
          <w:sz w:val="33"/>
          <w:szCs w:val="33"/>
          <w:highlight w:val="none"/>
          <w:shd w:val="clear" w:color="auto" w:fill="FFFFFF"/>
          <w:lang w:val="zh-CN"/>
        </w:rPr>
      </w:pPr>
      <w:r>
        <w:rPr>
          <w:rFonts w:hint="eastAsia" w:ascii="方正黑体_GBK" w:hAnsi="方正黑体_GBK" w:eastAsia="方正黑体_GBK" w:cs="方正黑体_GBK"/>
          <w:color w:val="000000"/>
          <w:kern w:val="0"/>
          <w:sz w:val="33"/>
          <w:szCs w:val="33"/>
          <w:highlight w:val="none"/>
          <w:shd w:val="clear" w:color="auto" w:fill="FFFFFF"/>
          <w:lang w:val="zh-CN"/>
        </w:rPr>
        <w:t>一、部门（单位）基本情况</w:t>
      </w:r>
    </w:p>
    <w:p w14:paraId="11B02C44">
      <w:pPr>
        <w:keepNext/>
        <w:keepLines w:val="0"/>
        <w:pageBreakBefore w:val="0"/>
        <w:widowControl w:val="0"/>
        <w:kinsoku/>
        <w:wordWrap/>
        <w:overflowPunct/>
        <w:topLinePunct w:val="0"/>
        <w:autoSpaceDE/>
        <w:autoSpaceDN/>
        <w:bidi w:val="0"/>
        <w:adjustRightInd/>
        <w:snapToGrid w:val="0"/>
        <w:spacing w:line="590" w:lineRule="exact"/>
        <w:ind w:firstLine="663" w:firstLineChars="200"/>
        <w:jc w:val="both"/>
        <w:textAlignment w:val="auto"/>
        <w:rPr>
          <w:rFonts w:hint="default" w:ascii="Times New Roman" w:hAnsi="Times New Roman" w:cs="Times New Roman"/>
          <w:sz w:val="33"/>
          <w:szCs w:val="33"/>
          <w:highlight w:val="none"/>
        </w:rPr>
      </w:pPr>
      <w:r>
        <w:rPr>
          <w:rFonts w:hint="eastAsia" w:ascii="Times New Roman" w:hAnsi="Times New Roman" w:eastAsia="楷体_GB2312" w:cs="楷体_GB2312"/>
          <w:b/>
          <w:color w:val="auto"/>
          <w:sz w:val="33"/>
          <w:szCs w:val="33"/>
          <w:highlight w:val="none"/>
          <w:lang w:val="zh-CN"/>
        </w:rPr>
        <w:t>（一）</w:t>
      </w:r>
      <w:r>
        <w:rPr>
          <w:rFonts w:hint="default" w:ascii="Times New Roman" w:hAnsi="Times New Roman" w:eastAsia="楷体_GB2312" w:cs="楷体_GB2312"/>
          <w:b/>
          <w:color w:val="auto"/>
          <w:sz w:val="33"/>
          <w:szCs w:val="33"/>
          <w:highlight w:val="none"/>
          <w:lang w:val="zh-CN"/>
        </w:rPr>
        <w:t>机构组成。</w:t>
      </w:r>
      <w:r>
        <w:rPr>
          <w:rFonts w:hint="eastAsia" w:eastAsia="方正仿宋_GBK" w:cs="方正仿宋_GBK"/>
          <w:b w:val="0"/>
          <w:bCs/>
          <w:color w:val="auto"/>
          <w:sz w:val="33"/>
          <w:szCs w:val="33"/>
          <w:highlight w:val="none"/>
          <w:lang w:val="zh-CN" w:eastAsia="zh-CN"/>
        </w:rPr>
        <w:t>根据《关于印发广安市前锋区财政局职能配置、内设机构和人员编制规定的通知》（前委办</w:t>
      </w:r>
      <w:r>
        <w:rPr>
          <w:rFonts w:hint="eastAsia" w:ascii="Times New Roman" w:hAnsi="Times New Roman" w:eastAsia="仿宋_GB2312" w:cs="仿宋_GB2312"/>
          <w:color w:val="auto"/>
          <w:kern w:val="2"/>
          <w:sz w:val="33"/>
          <w:szCs w:val="33"/>
          <w:highlight w:val="none"/>
          <w:lang w:val="en-US" w:eastAsia="zh-CN" w:bidi="ar-SA"/>
        </w:rPr>
        <w:t>〔2019〕</w:t>
      </w:r>
      <w:r>
        <w:rPr>
          <w:rFonts w:hint="eastAsia" w:eastAsia="方正仿宋_GBK" w:cs="方正仿宋_GBK"/>
          <w:b w:val="0"/>
          <w:bCs/>
          <w:color w:val="auto"/>
          <w:sz w:val="33"/>
          <w:szCs w:val="33"/>
          <w:highlight w:val="none"/>
          <w:lang w:val="zh-CN" w:eastAsia="zh-CN"/>
        </w:rPr>
        <w:t>150号）文件规定， 前锋区财政局现设办公室、预算股（增挂政府债务管理股、国库股牌子）、文教行政股、经济建设投资管理股（增挂金融外经股牌子）、农业农村股、社会保障股、财政监督检查和政府采购股（增挂内部审计股、会计股牌子）等</w:t>
      </w:r>
      <w:r>
        <w:rPr>
          <w:rFonts w:hint="eastAsia" w:eastAsia="方正仿宋_GBK" w:cs="方正仿宋_GBK"/>
          <w:b w:val="0"/>
          <w:bCs/>
          <w:color w:val="auto"/>
          <w:sz w:val="33"/>
          <w:szCs w:val="33"/>
          <w:highlight w:val="none"/>
          <w:lang w:val="en-US" w:eastAsia="zh-CN"/>
        </w:rPr>
        <w:t>7</w:t>
      </w:r>
      <w:r>
        <w:rPr>
          <w:rFonts w:hint="eastAsia" w:eastAsia="方正仿宋_GBK" w:cs="方正仿宋_GBK"/>
          <w:b w:val="0"/>
          <w:bCs/>
          <w:color w:val="auto"/>
          <w:sz w:val="33"/>
          <w:szCs w:val="33"/>
          <w:highlight w:val="none"/>
          <w:lang w:val="zh-CN" w:eastAsia="zh-CN"/>
        </w:rPr>
        <w:t>个内设机构。下设区财政投资评审中心、区财政国库支付中心、区国有资产管理服务中心、区政府债券项目编审中心、区政府与社会资本合作中心、</w:t>
      </w:r>
      <w:r>
        <w:rPr>
          <w:rFonts w:hint="eastAsia" w:ascii="Times New Roman" w:hAnsi="Times New Roman" w:eastAsia="仿宋_GB2312" w:cs="Times New Roman"/>
          <w:color w:val="000000" w:themeColor="text1"/>
          <w:sz w:val="33"/>
          <w:szCs w:val="33"/>
          <w:highlight w:val="none"/>
          <w:u w:val="none"/>
          <w:lang w:val="en-US" w:eastAsia="zh-CN"/>
          <w14:textFill>
            <w14:solidFill>
              <w14:schemeClr w14:val="tx1"/>
            </w14:solidFill>
          </w14:textFill>
        </w:rPr>
        <w:t>区金融服务中心、区财政结算中心</w:t>
      </w:r>
      <w:r>
        <w:rPr>
          <w:rFonts w:hint="eastAsia" w:eastAsia="方正仿宋_GBK" w:cs="方正仿宋_GBK"/>
          <w:b w:val="0"/>
          <w:bCs/>
          <w:color w:val="auto"/>
          <w:sz w:val="33"/>
          <w:szCs w:val="33"/>
          <w:highlight w:val="none"/>
          <w:lang w:val="zh-CN" w:eastAsia="zh-CN"/>
        </w:rPr>
        <w:t>等</w:t>
      </w:r>
      <w:r>
        <w:rPr>
          <w:rFonts w:hint="eastAsia" w:eastAsia="方正仿宋_GBK" w:cs="方正仿宋_GBK"/>
          <w:b w:val="0"/>
          <w:bCs/>
          <w:color w:val="auto"/>
          <w:sz w:val="33"/>
          <w:szCs w:val="33"/>
          <w:highlight w:val="none"/>
          <w:lang w:val="en-US" w:eastAsia="zh-CN"/>
        </w:rPr>
        <w:t>7</w:t>
      </w:r>
      <w:r>
        <w:rPr>
          <w:rFonts w:hint="eastAsia" w:eastAsia="方正仿宋_GBK" w:cs="方正仿宋_GBK"/>
          <w:b w:val="0"/>
          <w:bCs/>
          <w:color w:val="auto"/>
          <w:sz w:val="33"/>
          <w:szCs w:val="33"/>
          <w:highlight w:val="none"/>
          <w:lang w:val="zh-CN" w:eastAsia="zh-CN"/>
        </w:rPr>
        <w:t>个直属事业单位。</w:t>
      </w:r>
    </w:p>
    <w:p w14:paraId="6F7BFFDF">
      <w:pPr>
        <w:keepNext/>
        <w:keepLines w:val="0"/>
        <w:pageBreakBefore w:val="0"/>
        <w:widowControl w:val="0"/>
        <w:kinsoku/>
        <w:wordWrap/>
        <w:overflowPunct/>
        <w:topLinePunct w:val="0"/>
        <w:autoSpaceDE/>
        <w:autoSpaceDN/>
        <w:bidi w:val="0"/>
        <w:adjustRightInd/>
        <w:snapToGrid w:val="0"/>
        <w:spacing w:line="590" w:lineRule="exact"/>
        <w:ind w:firstLine="663" w:firstLineChars="200"/>
        <w:jc w:val="both"/>
        <w:textAlignment w:val="auto"/>
        <w:rPr>
          <w:rFonts w:hint="eastAsia" w:ascii="Times New Roman" w:hAnsi="Times New Roman" w:eastAsia="楷体_GB2312" w:cs="楷体_GB2312"/>
          <w:b/>
          <w:color w:val="auto"/>
          <w:sz w:val="33"/>
          <w:szCs w:val="33"/>
          <w:highlight w:val="none"/>
          <w:lang w:val="zh-CN"/>
        </w:rPr>
      </w:pPr>
      <w:r>
        <w:rPr>
          <w:rFonts w:hint="default" w:ascii="Times New Roman" w:hAnsi="Times New Roman" w:eastAsia="楷体_GB2312" w:cs="楷体_GB2312"/>
          <w:b/>
          <w:color w:val="auto"/>
          <w:sz w:val="33"/>
          <w:szCs w:val="33"/>
          <w:highlight w:val="none"/>
          <w:lang w:val="zh-CN"/>
        </w:rPr>
        <w:t>（二）机构职能</w:t>
      </w:r>
      <w:r>
        <w:rPr>
          <w:rFonts w:hint="eastAsia" w:ascii="Times New Roman" w:hAnsi="Times New Roman" w:eastAsia="楷体_GB2312" w:cs="楷体_GB2312"/>
          <w:b/>
          <w:color w:val="auto"/>
          <w:sz w:val="33"/>
          <w:szCs w:val="33"/>
          <w:highlight w:val="none"/>
          <w:lang w:val="zh-CN"/>
        </w:rPr>
        <w:t>。</w:t>
      </w:r>
    </w:p>
    <w:p w14:paraId="699D599F">
      <w:pPr>
        <w:keepNext/>
        <w:keepLines w:val="0"/>
        <w:pageBreakBefore w:val="0"/>
        <w:widowControl w:val="0"/>
        <w:kinsoku/>
        <w:wordWrap/>
        <w:overflowPunct/>
        <w:topLinePunct w:val="0"/>
        <w:autoSpaceDE/>
        <w:autoSpaceDN/>
        <w:bidi w:val="0"/>
        <w:adjustRightInd/>
        <w:snapToGrid w:val="0"/>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拟订全区财税发展战略、规划和改革方案并组织实施。 分析预测宏观经济形势</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参与制定宏观经济政策</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提出运用财税政策实施宏观调控和综合平衡社会财力的建议。拟订区与镇、街道</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园区</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、政府与企业的分配政策</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完善鼓励公益事业发展的财税政策。</w:t>
      </w:r>
    </w:p>
    <w:p w14:paraId="1C11F49E">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贯彻执行财政、税收、财务、会计管理的法律、法规和规章。拟订全区性财税规范性文件并组织实施</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按照管理权限管理全区税政事项。</w:t>
      </w:r>
    </w:p>
    <w:p w14:paraId="148A4CA7">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负责管理各项财政收支。编制年度区级预决算草案并组 织执行。组织制定经费开支标准、定额</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审核批复部门</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单位</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年度预决算。受区政府委托</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向区人民代表大会及其常委会报告财政预算、执行和决算等情况。负责区级预决算公开。负责全面实施预算绩效管理。</w:t>
      </w:r>
    </w:p>
    <w:p w14:paraId="7EE926F5">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4.</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按分工负</w:t>
      </w:r>
      <w:r>
        <w:rPr>
          <w:rFonts w:hint="eastAsia" w:eastAsia="方正仿宋_GBK" w:cs="方正仿宋_GBK"/>
          <w:color w:val="000000" w:themeColor="text1"/>
          <w:sz w:val="33"/>
          <w:szCs w:val="33"/>
          <w:highlight w:val="none"/>
          <w:u w:val="none"/>
          <w:lang w:val="en-US" w:eastAsia="zh-CN"/>
          <w14:textFill>
            <w14:solidFill>
              <w14:schemeClr w14:val="tx1"/>
            </w14:solidFill>
          </w14:textFill>
        </w:rPr>
        <w:t>责</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政府非税收入管理。负责政府性基金管理</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 xml:space="preserve"> 按规定管理行政事业性收费等其他非税收入。管理财政票据。执行彩票管理政策和有关办法</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监管彩票市场</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按规定管理彩票资金。</w:t>
      </w:r>
    </w:p>
    <w:p w14:paraId="3BC2C22C">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5.</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组织制定全区国库管理制度、国库集中收付制度</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指导和监督国库业务</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开展国库现金管理工作。贯彻执行政府财务报告编制办法并组织实施。负</w:t>
      </w:r>
      <w:r>
        <w:rPr>
          <w:rFonts w:hint="eastAsia" w:eastAsia="方正仿宋_GBK" w:cs="方正仿宋_GBK"/>
          <w:color w:val="000000" w:themeColor="text1"/>
          <w:sz w:val="33"/>
          <w:szCs w:val="33"/>
          <w:highlight w:val="none"/>
          <w:u w:val="none"/>
          <w:lang w:val="en-US" w:eastAsia="zh-CN"/>
          <w14:textFill>
            <w14:solidFill>
              <w14:schemeClr w14:val="tx1"/>
            </w14:solidFill>
          </w14:textFill>
        </w:rPr>
        <w:t>责</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制定、执行政府采购制度并监督管理。</w:t>
      </w:r>
    </w:p>
    <w:p w14:paraId="458DBCA0">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6.</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贯彻执行地方政府债务管理制度和政策</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制定具体管理 办法</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执行地方政府债务余额限额计划</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统一管理政府外债</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防范财政风险。</w:t>
      </w:r>
    </w:p>
    <w:p w14:paraId="698FEAD3">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7.</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牵头编制全区国有资产管理情况报告。拟订全区行政事业单位国有资产管理制度并组织实施</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推进全区行政事业单位经营性的国有资产集中统一监管工作。组织实施国有企业财务制度及企业财务会计报告编制办法。</w:t>
      </w:r>
    </w:p>
    <w:p w14:paraId="63F27099">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8.</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负责审核并汇总编制全区国有资本经营预决算草案。制 定国有资本经营预算制度和办法</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收取区本级企业国有资本收益。组织实施企业财务制度</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负责财政预算内行政事业单位和社会团体的非贸易外汇和财政预算内的国际收支管理。</w:t>
      </w:r>
    </w:p>
    <w:p w14:paraId="046BE79C">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9.</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负责审核并汇总编制全区社会保险基金预决算草案</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会同有关部门拟订有关资金</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基金</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财务管理制度。承担社会保险基金财政监管工作。</w:t>
      </w:r>
    </w:p>
    <w:p w14:paraId="582E637D">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10.</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w:t>
      </w:r>
      <w:r>
        <w:rPr>
          <w:rFonts w:hint="eastAsia" w:eastAsia="方正仿宋_GBK" w:cs="方正仿宋_GBK"/>
          <w:color w:val="000000" w:themeColor="text1"/>
          <w:sz w:val="33"/>
          <w:szCs w:val="33"/>
          <w:highlight w:val="none"/>
          <w:u w:val="none"/>
          <w:lang w:val="en-US" w:eastAsia="zh-CN"/>
          <w14:textFill>
            <w14:solidFill>
              <w14:schemeClr w14:val="tx1"/>
            </w14:solidFill>
          </w14:textFill>
        </w:rPr>
        <w:t>责</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办理和监督区级财政的经济发展支出、区级政府性投资项目的财政拨款</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负责投资评审管理工作</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参与拟订区级基建投资有关政策、制定基建财务管理制度。</w:t>
      </w:r>
    </w:p>
    <w:p w14:paraId="39303B25">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11.</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管理外国政府和国际金融机构贷</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赠</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款项目的有关业务</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参与财经领域的国际交流与合作。</w:t>
      </w:r>
    </w:p>
    <w:p w14:paraId="0003540F">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12.</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负责管理全区会计工作</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监督和规范会计行为</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组织实施国家统一的会计制度。授权指导和监督注册会计师和会计师事务所的业务</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指导和管理社会审计</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依法管理资产评估有关工作。</w:t>
      </w:r>
    </w:p>
    <w:p w14:paraId="62B5AD8A">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13.</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代表区政府履行出资人职责</w:t>
      </w:r>
      <w:r>
        <w:rPr>
          <w:rFonts w:hint="eastAsia" w:eastAsia="方正仿宋_GBK" w:cs="方正仿宋_GBK"/>
          <w:color w:val="000000" w:themeColor="text1"/>
          <w:sz w:val="33"/>
          <w:szCs w:val="33"/>
          <w:highlight w:val="none"/>
          <w:u w:val="none"/>
          <w:lang w:val="zh-CN" w:eastAsia="zh-CN"/>
          <w14:textFill>
            <w14:solidFill>
              <w14:schemeClr w14:val="tx1"/>
            </w14:solidFill>
          </w14:textFill>
        </w:rPr>
        <w:t>，</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承担区级国有企业国有资本监督管理。</w:t>
      </w:r>
    </w:p>
    <w:p w14:paraId="37961571">
      <w:pPr>
        <w:keepNext/>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14.</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负责职责范围内的安全生产和职业健康、生态环境保护、审批服务便民化等工作。</w:t>
      </w:r>
    </w:p>
    <w:p w14:paraId="00083126">
      <w:pPr>
        <w:keepNext/>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eastAsia"/>
          <w:sz w:val="33"/>
          <w:szCs w:val="33"/>
          <w:highlight w:val="none"/>
          <w:lang w:eastAsia="zh-CN"/>
        </w:rPr>
      </w:pPr>
      <w:r>
        <w:rPr>
          <w:rFonts w:hint="eastAsia" w:ascii="Times New Roman" w:hAnsi="Times New Roman" w:eastAsia="方正仿宋_GBK" w:cs="方正仿宋_GBK"/>
          <w:color w:val="000000" w:themeColor="text1"/>
          <w:sz w:val="33"/>
          <w:szCs w:val="33"/>
          <w:highlight w:val="none"/>
          <w:u w:val="none"/>
          <w:lang w:val="en-US" w:eastAsia="zh-CN"/>
          <w14:textFill>
            <w14:solidFill>
              <w14:schemeClr w14:val="tx1"/>
            </w14:solidFill>
          </w14:textFill>
        </w:rPr>
        <w:t>15.</w:t>
      </w:r>
      <w:r>
        <w:rPr>
          <w:rFonts w:hint="eastAsia" w:ascii="Times New Roman" w:hAnsi="Times New Roman" w:eastAsia="方正仿宋_GBK" w:cs="方正仿宋_GBK"/>
          <w:color w:val="000000" w:themeColor="text1"/>
          <w:sz w:val="33"/>
          <w:szCs w:val="33"/>
          <w:highlight w:val="none"/>
          <w:u w:val="none"/>
          <w:lang w:val="zh-CN" w:eastAsia="zh-CN"/>
          <w14:textFill>
            <w14:solidFill>
              <w14:schemeClr w14:val="tx1"/>
            </w14:solidFill>
          </w14:textFill>
        </w:rPr>
        <w:t>完成区委、区政府交办的其他任务。</w:t>
      </w:r>
    </w:p>
    <w:p w14:paraId="2C3E951D">
      <w:pPr>
        <w:keepNext/>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cs="Times New Roman"/>
          <w:sz w:val="33"/>
          <w:szCs w:val="33"/>
          <w:highlight w:val="none"/>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仿宋_GB2312" w:cs="Times New Roman"/>
          <w:sz w:val="33"/>
          <w:szCs w:val="33"/>
          <w:highlight w:val="none"/>
          <w:lang w:val="en-US" w:eastAsia="zh-CN"/>
        </w:rPr>
        <w:t>截至202</w:t>
      </w:r>
      <w:r>
        <w:rPr>
          <w:rFonts w:hint="eastAsia" w:ascii="Times New Roman" w:hAnsi="Times New Roman" w:eastAsia="仿宋_GB2312" w:cs="Times New Roman"/>
          <w:sz w:val="33"/>
          <w:szCs w:val="33"/>
          <w:highlight w:val="none"/>
          <w:lang w:val="en-US" w:eastAsia="zh-CN"/>
        </w:rPr>
        <w:t>4</w:t>
      </w:r>
      <w:r>
        <w:rPr>
          <w:rFonts w:hint="default" w:ascii="Times New Roman" w:hAnsi="Times New Roman" w:eastAsia="仿宋_GB2312" w:cs="Times New Roman"/>
          <w:sz w:val="33"/>
          <w:szCs w:val="33"/>
          <w:highlight w:val="none"/>
          <w:lang w:val="en-US" w:eastAsia="zh-CN"/>
        </w:rPr>
        <w:t>年末，</w:t>
      </w:r>
      <w:r>
        <w:rPr>
          <w:rFonts w:hint="eastAsia" w:eastAsia="方正仿宋_GBK" w:cs="方正仿宋_GBK"/>
          <w:b w:val="0"/>
          <w:bCs/>
          <w:color w:val="auto"/>
          <w:sz w:val="33"/>
          <w:szCs w:val="33"/>
          <w:highlight w:val="none"/>
          <w:lang w:val="zh-CN" w:eastAsia="zh-CN"/>
        </w:rPr>
        <w:t>财政局</w:t>
      </w:r>
      <w:r>
        <w:rPr>
          <w:rFonts w:hint="default" w:ascii="Times New Roman" w:hAnsi="Times New Roman" w:eastAsia="仿宋_GB2312" w:cs="Times New Roman"/>
          <w:sz w:val="33"/>
          <w:szCs w:val="33"/>
          <w:highlight w:val="none"/>
          <w:lang w:val="en-US" w:eastAsia="zh-CN"/>
        </w:rPr>
        <w:t>及下属单位编制</w:t>
      </w:r>
      <w:r>
        <w:rPr>
          <w:rFonts w:hint="eastAsia" w:eastAsia="仿宋_GB2312" w:cs="Times New Roman"/>
          <w:sz w:val="33"/>
          <w:szCs w:val="33"/>
          <w:highlight w:val="none"/>
          <w:lang w:val="en-US" w:eastAsia="zh-CN"/>
        </w:rPr>
        <w:t>数54</w:t>
      </w:r>
      <w:r>
        <w:rPr>
          <w:rFonts w:hint="eastAsia" w:ascii="Times New Roman" w:hAnsi="Times New Roman" w:eastAsia="仿宋_GB2312" w:cs="Times New Roman"/>
          <w:sz w:val="33"/>
          <w:szCs w:val="33"/>
          <w:highlight w:val="none"/>
          <w:lang w:val="en-US" w:eastAsia="zh-CN"/>
        </w:rPr>
        <w:t>、</w:t>
      </w:r>
      <w:r>
        <w:rPr>
          <w:rFonts w:hint="default" w:ascii="Times New Roman" w:hAnsi="Times New Roman" w:eastAsia="仿宋_GB2312" w:cs="Times New Roman"/>
          <w:sz w:val="33"/>
          <w:szCs w:val="33"/>
          <w:highlight w:val="none"/>
          <w:lang w:val="en-US" w:eastAsia="zh-CN"/>
        </w:rPr>
        <w:t>年末实有人数</w:t>
      </w:r>
      <w:r>
        <w:rPr>
          <w:rFonts w:hint="eastAsia" w:eastAsia="仿宋_GB2312" w:cs="Times New Roman"/>
          <w:sz w:val="33"/>
          <w:szCs w:val="33"/>
          <w:highlight w:val="none"/>
          <w:lang w:val="en-US" w:eastAsia="zh-CN"/>
        </w:rPr>
        <w:t>53人</w:t>
      </w:r>
      <w:r>
        <w:rPr>
          <w:rFonts w:hint="eastAsia" w:ascii="Times New Roman" w:hAnsi="Times New Roman" w:eastAsia="仿宋_GB2312" w:cs="Times New Roman"/>
          <w:sz w:val="33"/>
          <w:szCs w:val="33"/>
          <w:highlight w:val="none"/>
          <w:lang w:val="en-US" w:eastAsia="zh-CN"/>
        </w:rPr>
        <w:t>。</w:t>
      </w:r>
    </w:p>
    <w:p w14:paraId="6AAF9349">
      <w:pPr>
        <w:keepNext/>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outlineLvl w:val="9"/>
        <w:rPr>
          <w:rFonts w:hint="default" w:ascii="方正黑体_GBK" w:hAnsi="方正黑体_GBK" w:eastAsia="方正黑体_GBK" w:cs="方正黑体_GBK"/>
          <w:color w:val="000000"/>
          <w:kern w:val="0"/>
          <w:sz w:val="33"/>
          <w:szCs w:val="33"/>
          <w:highlight w:val="none"/>
          <w:shd w:val="clear" w:color="auto" w:fill="FFFFFF"/>
          <w:lang w:val="zh-CN" w:eastAsia="zh-CN"/>
        </w:rPr>
      </w:pPr>
      <w:r>
        <w:rPr>
          <w:rFonts w:hint="default" w:ascii="方正黑体_GBK" w:hAnsi="方正黑体_GBK" w:eastAsia="方正黑体_GBK" w:cs="方正黑体_GBK"/>
          <w:color w:val="000000"/>
          <w:kern w:val="0"/>
          <w:sz w:val="33"/>
          <w:szCs w:val="33"/>
          <w:highlight w:val="none"/>
          <w:shd w:val="clear" w:color="auto" w:fill="FFFFFF"/>
          <w:lang w:val="zh-CN" w:eastAsia="zh-CN"/>
        </w:rPr>
        <w:t>二、部门资金收支情况</w:t>
      </w:r>
    </w:p>
    <w:p w14:paraId="4F1603AA">
      <w:pPr>
        <w:keepNext/>
        <w:keepLines w:val="0"/>
        <w:pageBreakBefore w:val="0"/>
        <w:widowControl w:val="0"/>
        <w:kinsoku/>
        <w:wordWrap/>
        <w:overflowPunct/>
        <w:topLinePunct w:val="0"/>
        <w:autoSpaceDE/>
        <w:autoSpaceDN/>
        <w:bidi w:val="0"/>
        <w:adjustRightInd w:val="0"/>
        <w:snapToGrid w:val="0"/>
        <w:spacing w:line="590" w:lineRule="exact"/>
        <w:ind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eastAsia="方正仿宋_GBK" w:cs="方正仿宋_GBK"/>
          <w:b w:val="0"/>
          <w:bCs/>
          <w:color w:val="auto"/>
          <w:sz w:val="33"/>
          <w:szCs w:val="33"/>
          <w:highlight w:val="none"/>
          <w:lang w:val="zh-CN" w:eastAsia="zh-CN"/>
        </w:rPr>
        <w:t>广安市前锋区财政局</w:t>
      </w:r>
      <w:r>
        <w:rPr>
          <w:rFonts w:hint="eastAsia" w:ascii="Times New Roman" w:hAnsi="Times New Roman" w:eastAsia="仿宋_GB2312" w:cs="Times New Roman"/>
          <w:sz w:val="33"/>
          <w:szCs w:val="33"/>
          <w:highlight w:val="none"/>
          <w:lang w:val="en-US" w:eastAsia="zh-CN"/>
        </w:rPr>
        <w:t>2024年年初预算收入</w:t>
      </w:r>
      <w:r>
        <w:rPr>
          <w:rFonts w:hint="eastAsia" w:eastAsia="仿宋_GB2312" w:cs="Times New Roman"/>
          <w:sz w:val="33"/>
          <w:szCs w:val="33"/>
          <w:highlight w:val="none"/>
          <w:lang w:val="en-US" w:eastAsia="zh-CN"/>
        </w:rPr>
        <w:t>771.02万元，</w:t>
      </w:r>
      <w:r>
        <w:rPr>
          <w:rFonts w:hint="eastAsia" w:ascii="Times New Roman" w:hAnsi="Times New Roman" w:eastAsia="方正仿宋_GBK" w:cs="方正仿宋_GBK"/>
          <w:w w:val="100"/>
          <w:sz w:val="33"/>
          <w:szCs w:val="33"/>
          <w:highlight w:val="none"/>
          <w:lang w:val="en-US" w:eastAsia="zh-CN"/>
        </w:rPr>
        <w:t>年度执行中调整为</w:t>
      </w:r>
      <w:r>
        <w:rPr>
          <w:rFonts w:hint="eastAsia" w:eastAsia="方正仿宋_GBK" w:cs="方正仿宋_GBK"/>
          <w:w w:val="100"/>
          <w:sz w:val="33"/>
          <w:szCs w:val="33"/>
          <w:highlight w:val="none"/>
          <w:lang w:val="en-US" w:eastAsia="zh-CN"/>
        </w:rPr>
        <w:t>1232.07</w:t>
      </w:r>
      <w:r>
        <w:rPr>
          <w:rFonts w:hint="eastAsia" w:ascii="Times New Roman" w:hAnsi="Times New Roman" w:eastAsia="方正仿宋_GBK" w:cs="方正仿宋_GBK"/>
          <w:w w:val="100"/>
          <w:sz w:val="33"/>
          <w:szCs w:val="33"/>
          <w:highlight w:val="none"/>
          <w:lang w:val="en-US" w:eastAsia="zh-CN"/>
        </w:rPr>
        <w:t>万元，</w:t>
      </w:r>
      <w:r>
        <w:rPr>
          <w:rFonts w:hint="eastAsia" w:ascii="Times New Roman" w:hAnsi="Times New Roman" w:eastAsia="仿宋_GB2312" w:cs="Times New Roman"/>
          <w:sz w:val="33"/>
          <w:szCs w:val="33"/>
          <w:highlight w:val="none"/>
          <w:lang w:val="en-US" w:eastAsia="zh-CN"/>
        </w:rPr>
        <w:t>决算报表收入</w:t>
      </w:r>
      <w:r>
        <w:rPr>
          <w:rFonts w:hint="eastAsia" w:eastAsia="仿宋_GB2312" w:cs="Times New Roman"/>
          <w:sz w:val="33"/>
          <w:szCs w:val="33"/>
          <w:highlight w:val="none"/>
          <w:lang w:val="en-US" w:eastAsia="zh-CN"/>
        </w:rPr>
        <w:t>1232.07万元</w:t>
      </w:r>
      <w:r>
        <w:rPr>
          <w:rFonts w:hint="eastAsia" w:ascii="Times New Roman" w:hAnsi="Times New Roman" w:eastAsia="仿宋_GB2312" w:cs="Times New Roman"/>
          <w:sz w:val="33"/>
          <w:szCs w:val="33"/>
          <w:highlight w:val="none"/>
          <w:lang w:val="en-US" w:eastAsia="zh-CN"/>
        </w:rPr>
        <w:t>。</w:t>
      </w:r>
    </w:p>
    <w:p w14:paraId="197BACE3">
      <w:pPr>
        <w:keepNext/>
        <w:keepLines w:val="0"/>
        <w:pageBreakBefore w:val="0"/>
        <w:widowControl w:val="0"/>
        <w:kinsoku/>
        <w:wordWrap/>
        <w:overflowPunct/>
        <w:topLinePunct w:val="0"/>
        <w:autoSpaceDE/>
        <w:autoSpaceDN/>
        <w:bidi w:val="0"/>
        <w:adjustRightInd w:val="0"/>
        <w:snapToGrid w:val="0"/>
        <w:spacing w:line="590" w:lineRule="exact"/>
        <w:ind w:firstLine="663" w:firstLineChars="200"/>
        <w:contextualSpacing/>
        <w:jc w:val="both"/>
        <w:textAlignment w:val="auto"/>
        <w:outlineLvl w:val="9"/>
        <w:rPr>
          <w:rFonts w:hint="default" w:ascii="Times New Roman" w:hAnsi="Times New Roman" w:cs="Times New Roman"/>
          <w:sz w:val="33"/>
          <w:szCs w:val="33"/>
          <w:highlight w:val="none"/>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二</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eastAsia="方正仿宋_GBK" w:cs="方正仿宋_GBK"/>
          <w:b w:val="0"/>
          <w:bCs/>
          <w:color w:val="auto"/>
          <w:sz w:val="33"/>
          <w:szCs w:val="33"/>
          <w:highlight w:val="none"/>
          <w:lang w:val="zh-CN" w:eastAsia="zh-CN"/>
        </w:rPr>
        <w:t>广安市前锋区财政局</w:t>
      </w:r>
      <w:r>
        <w:rPr>
          <w:rFonts w:hint="eastAsia" w:ascii="Times New Roman" w:hAnsi="Times New Roman" w:eastAsia="仿宋_GB2312" w:cs="Times New Roman"/>
          <w:sz w:val="33"/>
          <w:szCs w:val="33"/>
          <w:highlight w:val="none"/>
          <w:lang w:val="en-US" w:eastAsia="zh-CN"/>
        </w:rPr>
        <w:t>2024年年初预算支出</w:t>
      </w:r>
      <w:r>
        <w:rPr>
          <w:rFonts w:hint="eastAsia" w:eastAsia="仿宋_GB2312" w:cs="Times New Roman"/>
          <w:sz w:val="33"/>
          <w:szCs w:val="33"/>
          <w:highlight w:val="none"/>
          <w:lang w:val="en-US" w:eastAsia="zh-CN"/>
        </w:rPr>
        <w:t>771.02万元，</w:t>
      </w:r>
      <w:r>
        <w:rPr>
          <w:rFonts w:hint="eastAsia" w:ascii="Times New Roman" w:hAnsi="Times New Roman" w:eastAsia="方正仿宋_GBK" w:cs="方正仿宋_GBK"/>
          <w:w w:val="100"/>
          <w:sz w:val="33"/>
          <w:szCs w:val="33"/>
          <w:highlight w:val="none"/>
          <w:lang w:val="en-US" w:eastAsia="zh-CN"/>
        </w:rPr>
        <w:t>年度执行中调整为</w:t>
      </w:r>
      <w:r>
        <w:rPr>
          <w:rFonts w:hint="eastAsia" w:eastAsia="方正仿宋_GBK" w:cs="方正仿宋_GBK"/>
          <w:w w:val="100"/>
          <w:sz w:val="33"/>
          <w:szCs w:val="33"/>
          <w:highlight w:val="none"/>
          <w:lang w:val="en-US" w:eastAsia="zh-CN"/>
        </w:rPr>
        <w:t>1232.07</w:t>
      </w:r>
      <w:r>
        <w:rPr>
          <w:rFonts w:hint="eastAsia" w:ascii="Times New Roman" w:hAnsi="Times New Roman" w:eastAsia="方正仿宋_GBK" w:cs="方正仿宋_GBK"/>
          <w:w w:val="100"/>
          <w:sz w:val="33"/>
          <w:szCs w:val="33"/>
          <w:highlight w:val="none"/>
          <w:lang w:val="en-US" w:eastAsia="zh-CN"/>
        </w:rPr>
        <w:t>万元，</w:t>
      </w:r>
      <w:r>
        <w:rPr>
          <w:rFonts w:hint="eastAsia" w:ascii="Times New Roman" w:hAnsi="Times New Roman" w:eastAsia="仿宋_GB2312" w:cs="Times New Roman"/>
          <w:sz w:val="33"/>
          <w:szCs w:val="33"/>
          <w:highlight w:val="none"/>
          <w:lang w:val="en-US" w:eastAsia="zh-CN"/>
        </w:rPr>
        <w:t>决算报表支出</w:t>
      </w:r>
      <w:r>
        <w:rPr>
          <w:rFonts w:hint="eastAsia" w:eastAsia="仿宋_GB2312" w:cs="Times New Roman"/>
          <w:sz w:val="33"/>
          <w:szCs w:val="33"/>
          <w:highlight w:val="none"/>
          <w:lang w:val="en-US" w:eastAsia="zh-CN"/>
        </w:rPr>
        <w:t>1232.07万元</w:t>
      </w:r>
      <w:r>
        <w:rPr>
          <w:rFonts w:hint="eastAsia" w:ascii="Times New Roman" w:hAnsi="Times New Roman" w:eastAsia="仿宋_GB2312" w:cs="Times New Roman"/>
          <w:sz w:val="33"/>
          <w:szCs w:val="33"/>
          <w:highlight w:val="none"/>
          <w:lang w:val="en-US" w:eastAsia="zh-CN"/>
        </w:rPr>
        <w:t>。</w:t>
      </w:r>
    </w:p>
    <w:p w14:paraId="6C545366">
      <w:pPr>
        <w:keepNext/>
        <w:keepLines w:val="0"/>
        <w:pageBreakBefore w:val="0"/>
        <w:widowControl w:val="0"/>
        <w:kinsoku/>
        <w:wordWrap/>
        <w:overflowPunct/>
        <w:topLinePunct w:val="0"/>
        <w:autoSpaceDE/>
        <w:autoSpaceDN/>
        <w:bidi w:val="0"/>
        <w:snapToGrid/>
        <w:spacing w:line="590" w:lineRule="exact"/>
        <w:ind w:firstLine="663" w:firstLineChars="200"/>
        <w:jc w:val="both"/>
        <w:textAlignment w:val="auto"/>
        <w:rPr>
          <w:rFonts w:hint="default" w:ascii="Times New Roman" w:hAnsi="Times New Roman" w:eastAsia="仿宋_GB2312" w:cs="Times New Roman"/>
          <w:b w:val="0"/>
          <w:bCs w:val="0"/>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eastAsia="方正仿宋_GBK" w:cs="方正仿宋_GBK"/>
          <w:b w:val="0"/>
          <w:bCs/>
          <w:color w:val="auto"/>
          <w:sz w:val="33"/>
          <w:szCs w:val="33"/>
          <w:highlight w:val="none"/>
          <w:lang w:val="zh-CN" w:eastAsia="zh-CN"/>
        </w:rPr>
        <w:t>广安市前锋区财政局202</w:t>
      </w:r>
      <w:r>
        <w:rPr>
          <w:rFonts w:hint="eastAsia" w:eastAsia="方正仿宋_GBK" w:cs="方正仿宋_GBK"/>
          <w:b w:val="0"/>
          <w:bCs/>
          <w:color w:val="auto"/>
          <w:sz w:val="33"/>
          <w:szCs w:val="33"/>
          <w:highlight w:val="none"/>
          <w:lang w:val="en-US" w:eastAsia="zh-CN"/>
        </w:rPr>
        <w:t>4</w:t>
      </w:r>
      <w:r>
        <w:rPr>
          <w:rFonts w:hint="eastAsia" w:eastAsia="方正仿宋_GBK" w:cs="方正仿宋_GBK"/>
          <w:b w:val="0"/>
          <w:bCs/>
          <w:color w:val="auto"/>
          <w:sz w:val="33"/>
          <w:szCs w:val="33"/>
          <w:highlight w:val="none"/>
          <w:lang w:val="zh-CN" w:eastAsia="zh-CN"/>
        </w:rPr>
        <w:t>年决算报表年初结转结余</w:t>
      </w:r>
      <w:r>
        <w:rPr>
          <w:rFonts w:hint="eastAsia" w:eastAsia="方正仿宋_GBK" w:cs="方正仿宋_GBK"/>
          <w:b w:val="0"/>
          <w:bCs/>
          <w:color w:val="auto"/>
          <w:sz w:val="33"/>
          <w:szCs w:val="33"/>
          <w:highlight w:val="none"/>
          <w:lang w:val="en-US" w:eastAsia="zh-CN"/>
        </w:rPr>
        <w:t>95.28万元，</w:t>
      </w:r>
      <w:r>
        <w:rPr>
          <w:rFonts w:hint="eastAsia" w:eastAsia="方正仿宋_GBK" w:cs="方正仿宋_GBK"/>
          <w:b w:val="0"/>
          <w:bCs/>
          <w:color w:val="auto"/>
          <w:sz w:val="33"/>
          <w:szCs w:val="33"/>
          <w:highlight w:val="none"/>
          <w:lang w:val="zh-CN" w:eastAsia="zh-CN"/>
        </w:rPr>
        <w:t>年末结转和结余</w:t>
      </w:r>
      <w:r>
        <w:rPr>
          <w:rFonts w:hint="eastAsia" w:eastAsia="方正仿宋_GBK" w:cs="方正仿宋_GBK"/>
          <w:b w:val="0"/>
          <w:bCs/>
          <w:color w:val="auto"/>
          <w:sz w:val="33"/>
          <w:szCs w:val="33"/>
          <w:highlight w:val="none"/>
          <w:lang w:val="en-US" w:eastAsia="zh-CN"/>
        </w:rPr>
        <w:t>1.09万元</w:t>
      </w:r>
      <w:r>
        <w:rPr>
          <w:rFonts w:hint="eastAsia" w:eastAsia="方正仿宋_GBK" w:cs="方正仿宋_GBK"/>
          <w:b w:val="0"/>
          <w:bCs/>
          <w:color w:val="auto"/>
          <w:sz w:val="33"/>
          <w:szCs w:val="33"/>
          <w:highlight w:val="none"/>
          <w:lang w:val="zh-CN" w:eastAsia="zh-CN"/>
        </w:rPr>
        <w:t>。</w:t>
      </w:r>
    </w:p>
    <w:p w14:paraId="07B642AC">
      <w:pPr>
        <w:keepNext/>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outlineLvl w:val="9"/>
        <w:rPr>
          <w:rFonts w:hint="default" w:ascii="方正黑体_GBK" w:hAnsi="方正黑体_GBK" w:eastAsia="方正黑体_GBK" w:cs="方正黑体_GBK"/>
          <w:color w:val="000000"/>
          <w:kern w:val="0"/>
          <w:sz w:val="33"/>
          <w:szCs w:val="33"/>
          <w:highlight w:val="none"/>
          <w:shd w:val="clear" w:color="auto" w:fill="FFFFFF"/>
          <w:lang w:val="zh-CN" w:eastAsia="zh-CN"/>
        </w:rPr>
      </w:pPr>
      <w:r>
        <w:rPr>
          <w:rFonts w:hint="default" w:ascii="方正黑体_GBK" w:hAnsi="方正黑体_GBK" w:eastAsia="方正黑体_GBK" w:cs="方正黑体_GBK"/>
          <w:color w:val="000000"/>
          <w:kern w:val="0"/>
          <w:sz w:val="33"/>
          <w:szCs w:val="33"/>
          <w:highlight w:val="none"/>
          <w:shd w:val="clear" w:color="auto" w:fill="FFFFFF"/>
          <w:lang w:val="zh-CN" w:eastAsia="zh-CN"/>
        </w:rPr>
        <w:t>三、部门预算绩效分析</w:t>
      </w:r>
    </w:p>
    <w:p w14:paraId="678DCE9E">
      <w:pPr>
        <w:keepNext/>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Times New Roman" w:hAnsi="Times New Roman" w:eastAsia="方正仿宋_GBK" w:cs="方正仿宋_GBK"/>
          <w:color w:val="000000"/>
          <w:w w:val="1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1.</w:t>
      </w:r>
      <w:r>
        <w:rPr>
          <w:rFonts w:hint="eastAsia" w:ascii="Times New Roman" w:hAnsi="Times New Roman" w:eastAsia="方正仿宋_GBK" w:cs="方正仿宋_GBK"/>
          <w:color w:val="000000"/>
          <w:w w:val="100"/>
          <w:kern w:val="0"/>
          <w:sz w:val="33"/>
          <w:szCs w:val="33"/>
          <w:highlight w:val="none"/>
          <w:shd w:val="clear" w:color="auto" w:fill="FFFFFF"/>
          <w:lang w:val="zh-CN"/>
        </w:rPr>
        <w:t>履职效能。</w:t>
      </w:r>
      <w:r>
        <w:rPr>
          <w:rFonts w:hint="eastAsia" w:ascii="Times New Roman" w:hAnsi="Times New Roman" w:eastAsia="方正仿宋_GBK" w:cs="方正仿宋_GBK"/>
          <w:b w:val="0"/>
          <w:bCs w:val="0"/>
          <w:color w:val="auto"/>
          <w:w w:val="100"/>
          <w:sz w:val="33"/>
          <w:szCs w:val="33"/>
          <w:highlight w:val="none"/>
          <w:lang w:val="en-US" w:eastAsia="zh-CN"/>
        </w:rPr>
        <w:t>一是</w:t>
      </w:r>
      <w:r>
        <w:rPr>
          <w:rFonts w:hint="eastAsia" w:ascii="Times New Roman" w:hAnsi="Times New Roman" w:eastAsia="方正仿宋_GBK" w:cs="方正仿宋_GBK"/>
          <w:color w:val="auto"/>
          <w:w w:val="100"/>
          <w:sz w:val="33"/>
          <w:szCs w:val="33"/>
          <w:highlight w:val="none"/>
          <w:lang w:val="en-US" w:eastAsia="zh-CN"/>
        </w:rPr>
        <w:t>完善财政资金管理，修订并印发《关于进一步规范财政性资金审批管理程序的通知》，进一步规范财政资金审批管理流程，同时对全区202</w:t>
      </w:r>
      <w:r>
        <w:rPr>
          <w:rFonts w:hint="eastAsia" w:eastAsia="方正仿宋_GBK" w:cs="方正仿宋_GBK"/>
          <w:color w:val="auto"/>
          <w:w w:val="100"/>
          <w:sz w:val="33"/>
          <w:szCs w:val="33"/>
          <w:highlight w:val="none"/>
          <w:lang w:val="en-US" w:eastAsia="zh-CN"/>
        </w:rPr>
        <w:t>4</w:t>
      </w:r>
      <w:r>
        <w:rPr>
          <w:rFonts w:hint="eastAsia" w:ascii="Times New Roman" w:hAnsi="Times New Roman" w:eastAsia="方正仿宋_GBK" w:cs="方正仿宋_GBK"/>
          <w:color w:val="auto"/>
          <w:w w:val="100"/>
          <w:sz w:val="33"/>
          <w:szCs w:val="33"/>
          <w:highlight w:val="none"/>
          <w:lang w:val="en-US" w:eastAsia="zh-CN"/>
        </w:rPr>
        <w:t>年部门整体支出、政策支出、项目支出等进行全覆盖自评基础上，选取</w:t>
      </w:r>
      <w:r>
        <w:rPr>
          <w:rFonts w:hint="eastAsia" w:eastAsia="方正仿宋_GBK" w:cs="方正仿宋_GBK"/>
          <w:color w:val="auto"/>
          <w:w w:val="100"/>
          <w:sz w:val="33"/>
          <w:szCs w:val="33"/>
          <w:highlight w:val="none"/>
          <w:lang w:val="en-US" w:eastAsia="zh-CN"/>
        </w:rPr>
        <w:t>2</w:t>
      </w:r>
      <w:r>
        <w:rPr>
          <w:rFonts w:hint="eastAsia" w:ascii="Times New Roman" w:hAnsi="Times New Roman" w:eastAsia="方正仿宋_GBK" w:cs="方正仿宋_GBK"/>
          <w:color w:val="auto"/>
          <w:w w:val="100"/>
          <w:sz w:val="33"/>
          <w:szCs w:val="33"/>
          <w:highlight w:val="none"/>
          <w:lang w:val="en-US" w:eastAsia="zh-CN"/>
        </w:rPr>
        <w:t>个</w:t>
      </w:r>
      <w:r>
        <w:rPr>
          <w:rFonts w:hint="eastAsia" w:eastAsia="方正仿宋_GBK" w:cs="方正仿宋_GBK"/>
          <w:color w:val="auto"/>
          <w:w w:val="100"/>
          <w:sz w:val="33"/>
          <w:szCs w:val="33"/>
          <w:highlight w:val="none"/>
          <w:lang w:val="en-US" w:eastAsia="zh-CN"/>
        </w:rPr>
        <w:t>股室</w:t>
      </w:r>
      <w:r>
        <w:rPr>
          <w:rFonts w:hint="eastAsia" w:ascii="Times New Roman" w:hAnsi="Times New Roman" w:eastAsia="方正仿宋_GBK" w:cs="方正仿宋_GBK"/>
          <w:color w:val="auto"/>
          <w:w w:val="100"/>
          <w:sz w:val="33"/>
          <w:szCs w:val="33"/>
          <w:highlight w:val="none"/>
          <w:lang w:val="en-US" w:eastAsia="zh-CN"/>
        </w:rPr>
        <w:t>、2个财政政策、</w:t>
      </w:r>
      <w:r>
        <w:rPr>
          <w:rFonts w:hint="eastAsia" w:eastAsia="方正仿宋_GBK" w:cs="方正仿宋_GBK"/>
          <w:color w:val="auto"/>
          <w:w w:val="100"/>
          <w:sz w:val="33"/>
          <w:szCs w:val="33"/>
          <w:highlight w:val="none"/>
          <w:lang w:val="en-US" w:eastAsia="zh-CN"/>
        </w:rPr>
        <w:t>3</w:t>
      </w:r>
      <w:r>
        <w:rPr>
          <w:rFonts w:hint="eastAsia" w:ascii="Times New Roman" w:hAnsi="Times New Roman" w:eastAsia="方正仿宋_GBK" w:cs="方正仿宋_GBK"/>
          <w:color w:val="auto"/>
          <w:w w:val="100"/>
          <w:sz w:val="33"/>
          <w:szCs w:val="33"/>
          <w:highlight w:val="none"/>
          <w:lang w:val="en-US" w:eastAsia="zh-CN"/>
        </w:rPr>
        <w:t>个重点项目开展重点绩效评价，并做好评价结果运用，切实提升财政资金使用绩效。</w:t>
      </w:r>
      <w:r>
        <w:rPr>
          <w:rFonts w:hint="eastAsia" w:ascii="Times New Roman" w:hAnsi="Times New Roman" w:eastAsia="方正仿宋_GBK" w:cs="方正仿宋_GBK"/>
          <w:b w:val="0"/>
          <w:bCs w:val="0"/>
          <w:color w:val="auto"/>
          <w:w w:val="100"/>
          <w:sz w:val="33"/>
          <w:szCs w:val="33"/>
          <w:highlight w:val="none"/>
          <w:lang w:val="en-US" w:eastAsia="zh-CN"/>
        </w:rPr>
        <w:t>二是</w:t>
      </w:r>
      <w:r>
        <w:rPr>
          <w:rFonts w:hint="eastAsia" w:ascii="Times New Roman" w:hAnsi="Times New Roman" w:eastAsia="方正仿宋_GBK" w:cs="方正仿宋_GBK"/>
          <w:color w:val="auto"/>
          <w:w w:val="100"/>
          <w:sz w:val="33"/>
          <w:szCs w:val="33"/>
          <w:highlight w:val="none"/>
          <w:lang w:val="en-US" w:eastAsia="zh-CN"/>
        </w:rPr>
        <w:t>规范财政投资评审，修订《关于进一步规范政府投资项目建设管理有关事宜的通知》，明确政府投资项目工程类30万元以下或勘察设计监理费5万元以下由项目建设单位组织预算评审，更加方便集中优势兵力攻坚克难，提升财政评审质效。</w:t>
      </w:r>
      <w:r>
        <w:rPr>
          <w:rFonts w:hint="eastAsia" w:ascii="Times New Roman" w:hAnsi="Times New Roman" w:eastAsia="方正仿宋_GBK" w:cs="方正仿宋_GBK"/>
          <w:b w:val="0"/>
          <w:bCs w:val="0"/>
          <w:color w:val="auto"/>
          <w:w w:val="100"/>
          <w:sz w:val="33"/>
          <w:szCs w:val="33"/>
          <w:highlight w:val="none"/>
          <w:lang w:val="en-US" w:eastAsia="zh-CN"/>
        </w:rPr>
        <w:t>三是</w:t>
      </w:r>
      <w:r>
        <w:rPr>
          <w:rFonts w:hint="eastAsia" w:ascii="Times New Roman" w:hAnsi="Times New Roman" w:eastAsia="方正仿宋_GBK" w:cs="方正仿宋_GBK"/>
          <w:color w:val="auto"/>
          <w:w w:val="100"/>
          <w:sz w:val="33"/>
          <w:szCs w:val="33"/>
          <w:highlight w:val="none"/>
          <w:lang w:val="en-US" w:eastAsia="zh-CN"/>
        </w:rPr>
        <w:t>建立健全图审机制，印发《广安市前锋区财政局关于规范政府投资工程施工图设计评审相关事宜的通知》</w:t>
      </w:r>
      <w:r>
        <w:rPr>
          <w:rFonts w:hint="eastAsia" w:ascii="Times New Roman" w:hAnsi="Times New Roman" w:eastAsia="方正仿宋_GBK" w:cs="方正仿宋_GBK"/>
          <w:color w:val="auto"/>
          <w:w w:val="100"/>
          <w:kern w:val="2"/>
          <w:sz w:val="33"/>
          <w:szCs w:val="33"/>
          <w:highlight w:val="none"/>
          <w:lang w:val="en-US" w:eastAsia="zh-CN" w:bidi="ar-SA"/>
        </w:rPr>
        <w:t>《广安市前锋区财政局政府投资工程施工图设计评审专家考核管理办法》</w:t>
      </w:r>
      <w:r>
        <w:rPr>
          <w:rFonts w:hint="eastAsia" w:ascii="Times New Roman" w:hAnsi="Times New Roman" w:eastAsia="方正仿宋_GBK" w:cs="方正仿宋_GBK"/>
          <w:color w:val="auto"/>
          <w:w w:val="100"/>
          <w:sz w:val="33"/>
          <w:szCs w:val="33"/>
          <w:highlight w:val="none"/>
          <w:lang w:val="en-US" w:eastAsia="zh-CN"/>
        </w:rPr>
        <w:t>，切实优化图审程序，强化图审专家选取及管理，全面提升图审工作水平。2024年，图审中心共计受理政府投资施工图设计评审项目90个，专家提出修改意见共4698条，被采纳4433条，优化方案审减金额6860.63万元，因方案漏项审增金额3566.63万元，审后预算总金额90660.34万元。</w:t>
      </w:r>
    </w:p>
    <w:p w14:paraId="0047E7EB">
      <w:pPr>
        <w:keepNext/>
        <w:keepLines w:val="0"/>
        <w:pageBreakBefore w:val="0"/>
        <w:widowControl w:val="0"/>
        <w:kinsoku/>
        <w:wordWrap/>
        <w:overflowPunct/>
        <w:topLinePunct w:val="0"/>
        <w:autoSpaceDE/>
        <w:autoSpaceDN/>
        <w:bidi w:val="0"/>
        <w:spacing w:line="590" w:lineRule="exact"/>
        <w:ind w:firstLine="660" w:firstLineChars="200"/>
        <w:jc w:val="both"/>
        <w:textAlignment w:val="auto"/>
        <w:rPr>
          <w:rFonts w:hint="eastAsia" w:ascii="Times New Roman" w:hAnsi="Times New Roman" w:eastAsia="方正仿宋_GBK" w:cs="方正仿宋_GBK"/>
          <w:color w:val="000000"/>
          <w:w w:val="100"/>
          <w:kern w:val="0"/>
          <w:sz w:val="33"/>
          <w:szCs w:val="33"/>
          <w:highlight w:val="none"/>
          <w:shd w:val="clear" w:color="auto" w:fill="FFFFFF"/>
          <w:lang w:val="zh-CN"/>
        </w:rPr>
      </w:pP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2.</w:t>
      </w:r>
      <w:r>
        <w:rPr>
          <w:rFonts w:hint="eastAsia" w:ascii="Times New Roman" w:hAnsi="Times New Roman" w:eastAsia="方正仿宋_GBK" w:cs="方正仿宋_GBK"/>
          <w:color w:val="000000"/>
          <w:w w:val="100"/>
          <w:kern w:val="0"/>
          <w:sz w:val="33"/>
          <w:szCs w:val="33"/>
          <w:highlight w:val="none"/>
          <w:shd w:val="clear" w:color="auto" w:fill="FFFFFF"/>
          <w:lang w:val="zh-CN"/>
        </w:rPr>
        <w:t>预算管理。</w:t>
      </w:r>
      <w:r>
        <w:rPr>
          <w:rFonts w:hint="eastAsia" w:ascii="Times New Roman" w:hAnsi="Times New Roman" w:eastAsia="方正仿宋_GBK" w:cs="方正仿宋_GBK"/>
          <w:color w:val="auto"/>
          <w:w w:val="100"/>
          <w:sz w:val="33"/>
          <w:szCs w:val="33"/>
          <w:highlight w:val="none"/>
          <w:lang w:val="zh-CN" w:eastAsia="zh-CN"/>
        </w:rPr>
        <w:t>严格按照预算编制的要求，</w:t>
      </w:r>
      <w:r>
        <w:rPr>
          <w:rFonts w:hint="eastAsia" w:ascii="Times New Roman" w:hAnsi="Times New Roman" w:eastAsia="方正仿宋_GBK" w:cs="方正仿宋_GBK"/>
          <w:color w:val="auto"/>
          <w:w w:val="100"/>
          <w:sz w:val="33"/>
          <w:szCs w:val="33"/>
          <w:highlight w:val="none"/>
          <w:lang w:val="en-US" w:eastAsia="zh-CN"/>
        </w:rPr>
        <w:t>规范全口径预算管理，实行预算内外资金、其他资金、政府性基金收支统一管理、统筹安排，盘活存量资金，将存量结果与预算编制紧密结合。严格按照预算口径编制年初预算，保证年初预算编制的科学性和准确性。严格按照序时进度支付各项经费，严格控制一般性支出。</w:t>
      </w:r>
    </w:p>
    <w:p w14:paraId="59E783ED">
      <w:pPr>
        <w:keepNext/>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方正仿宋_GBK"/>
          <w:color w:val="auto"/>
          <w:w w:val="100"/>
          <w:sz w:val="33"/>
          <w:szCs w:val="33"/>
          <w:highlight w:val="none"/>
          <w:lang w:val="zh-CN" w:eastAsia="zh-CN"/>
        </w:rPr>
      </w:pP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3.</w:t>
      </w:r>
      <w:r>
        <w:rPr>
          <w:rFonts w:hint="eastAsia" w:ascii="Times New Roman" w:hAnsi="Times New Roman" w:eastAsia="方正仿宋_GBK" w:cs="方正仿宋_GBK"/>
          <w:color w:val="000000"/>
          <w:w w:val="100"/>
          <w:kern w:val="0"/>
          <w:sz w:val="33"/>
          <w:szCs w:val="33"/>
          <w:highlight w:val="none"/>
          <w:shd w:val="clear" w:color="auto" w:fill="FFFFFF"/>
          <w:lang w:val="zh-CN"/>
        </w:rPr>
        <w:t>财务管理。</w:t>
      </w:r>
      <w:r>
        <w:rPr>
          <w:rFonts w:hint="eastAsia" w:ascii="Times New Roman" w:hAnsi="Times New Roman" w:eastAsia="方正仿宋_GBK" w:cs="方正仿宋_GBK"/>
          <w:color w:val="auto"/>
          <w:w w:val="100"/>
          <w:sz w:val="33"/>
          <w:szCs w:val="33"/>
          <w:highlight w:val="none"/>
          <w:lang w:val="zh-CN" w:eastAsia="zh-CN"/>
        </w:rPr>
        <w:t>严格按照财务管理制度，科学设置会计及出纳岗位，严格审核流程，</w:t>
      </w:r>
      <w:r>
        <w:rPr>
          <w:rFonts w:hint="eastAsia" w:eastAsia="方正仿宋_GBK" w:cs="方正仿宋_GBK"/>
          <w:color w:val="auto"/>
          <w:w w:val="100"/>
          <w:sz w:val="33"/>
          <w:szCs w:val="33"/>
          <w:highlight w:val="none"/>
          <w:lang w:val="en-US" w:eastAsia="zh-CN"/>
        </w:rPr>
        <w:t>2024年</w:t>
      </w:r>
      <w:r>
        <w:rPr>
          <w:rFonts w:hint="eastAsia" w:ascii="Times New Roman" w:hAnsi="Times New Roman" w:eastAsia="方正仿宋_GBK" w:cs="方正仿宋_GBK"/>
          <w:color w:val="auto"/>
          <w:w w:val="100"/>
          <w:sz w:val="33"/>
          <w:szCs w:val="33"/>
          <w:highlight w:val="none"/>
          <w:lang w:val="zh-CN" w:eastAsia="zh-CN"/>
        </w:rPr>
        <w:t>全力统筹财政资金，坚决兜牢“三保”底线。在财政收入增速放缓，刚性支出压力加大的形势下，我局坚持把“三保”工作作为一项重要政治任务来抓，千方百计把“三保”政策任务落细落实，全力做好“三保”保障工作。</w:t>
      </w:r>
    </w:p>
    <w:p w14:paraId="6E8E7DB5">
      <w:pPr>
        <w:pStyle w:val="15"/>
        <w:keepNext/>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firstLine="660" w:firstLineChars="200"/>
        <w:jc w:val="both"/>
        <w:textAlignment w:val="auto"/>
        <w:rPr>
          <w:rFonts w:hint="eastAsia" w:ascii="Times New Roman" w:hAnsi="Times New Roman" w:eastAsia="方正仿宋_GBK" w:cs="方正仿宋_GBK"/>
          <w:color w:val="000000"/>
          <w:w w:val="100"/>
          <w:kern w:val="0"/>
          <w:sz w:val="33"/>
          <w:szCs w:val="33"/>
          <w:highlight w:val="none"/>
          <w:shd w:val="clear" w:color="auto" w:fill="FFFFFF"/>
          <w:lang w:val="zh-CN"/>
        </w:rPr>
      </w:pP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4.</w:t>
      </w:r>
      <w:r>
        <w:rPr>
          <w:rFonts w:hint="eastAsia" w:ascii="Times New Roman" w:hAnsi="Times New Roman" w:eastAsia="方正仿宋_GBK" w:cs="方正仿宋_GBK"/>
          <w:color w:val="000000"/>
          <w:w w:val="100"/>
          <w:kern w:val="0"/>
          <w:sz w:val="33"/>
          <w:szCs w:val="33"/>
          <w:highlight w:val="none"/>
          <w:shd w:val="clear" w:color="auto" w:fill="FFFFFF"/>
          <w:lang w:val="zh-CN"/>
        </w:rPr>
        <w:t>资产管理。</w:t>
      </w:r>
      <w:r>
        <w:rPr>
          <w:rFonts w:hint="eastAsia" w:ascii="Times New Roman" w:hAnsi="Times New Roman" w:eastAsia="方正仿宋_GBK" w:cs="方正仿宋_GBK"/>
          <w:color w:val="auto"/>
          <w:w w:val="100"/>
          <w:kern w:val="2"/>
          <w:sz w:val="33"/>
          <w:szCs w:val="33"/>
          <w:highlight w:val="none"/>
          <w:lang w:val="en-US" w:eastAsia="zh-CN" w:bidi="ar-SA"/>
        </w:rPr>
        <w:t>一是持续推进资产管理与预算管理规范工作。推行资产管理与预算管理相结合机制，促进部门预算管理不断完整与深化。全面推进资产配置实行计划总额管理，将资产配置计划管理前置到预算管理流程，提高资产购置预算的结束力和执行力。坚持无资产配置计划，不得编制资产配置预算，不予配置资产和政府采购资产，减少全区资产配置和购置的随意性以及财政资金的损失浪费。从严把控新增资产“入口关”，新增资产需优先通过公物仓调剂解决，对于低效、闲置资产优先在本部门及其所属单位内部调剂利用，其中使用价值大、利用范围广的低效、闲置资产移交至公物仓，积极推动跨部门、跨区域、跨级次的资产调剂和共享，有效避免国有资产闲置浪费，提高资产使用效益</w:t>
      </w:r>
      <w:r>
        <w:rPr>
          <w:rFonts w:hint="eastAsia" w:ascii="Times New Roman" w:hAnsi="Times New Roman" w:eastAsia="方正仿宋_GBK" w:cs="方正仿宋_GBK"/>
          <w:color w:val="auto"/>
          <w:w w:val="100"/>
          <w:sz w:val="33"/>
          <w:szCs w:val="33"/>
          <w:highlight w:val="none"/>
        </w:rPr>
        <w:t>。</w:t>
      </w:r>
      <w:r>
        <w:rPr>
          <w:rFonts w:hint="eastAsia" w:ascii="Times New Roman" w:hAnsi="Times New Roman" w:eastAsia="方正仿宋_GBK" w:cs="方正仿宋_GBK"/>
          <w:color w:val="auto"/>
          <w:w w:val="100"/>
          <w:sz w:val="33"/>
          <w:szCs w:val="33"/>
          <w:highlight w:val="none"/>
          <w:lang w:eastAsia="zh-CN"/>
        </w:rPr>
        <w:t>二是</w:t>
      </w:r>
      <w:r>
        <w:rPr>
          <w:rFonts w:hint="eastAsia" w:ascii="Times New Roman" w:hAnsi="Times New Roman" w:eastAsia="方正仿宋_GBK" w:cs="方正仿宋_GBK"/>
          <w:color w:val="auto"/>
          <w:w w:val="100"/>
          <w:sz w:val="33"/>
          <w:szCs w:val="33"/>
          <w:highlight w:val="none"/>
        </w:rPr>
        <w:t>严格落实国有资产处置审批工作。根据《行政事业性国有资产管理条例》《四川省行政事业性国有资产管理办法》等法律法规和有关规定，认真做好资产处置的核实工作。2024年以来，对区域内17个单位的国有资产按规定进行核实处置，相继完成288批次资产批复工作。其中：进行资产报废156批次，资产调剂或划转117批次，资产出租15处。</w:t>
      </w:r>
    </w:p>
    <w:p w14:paraId="58D14D76">
      <w:pPr>
        <w:keepNext/>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仿宋_GB2312" w:cs="仿宋_GB2312"/>
          <w:color w:val="auto"/>
          <w:kern w:val="2"/>
          <w:sz w:val="33"/>
          <w:szCs w:val="33"/>
          <w:highlight w:val="none"/>
          <w:lang w:val="zh-CN" w:eastAsia="zh-CN" w:bidi="ar-SA"/>
        </w:rPr>
      </w:pP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5.</w:t>
      </w:r>
      <w:r>
        <w:rPr>
          <w:rFonts w:hint="eastAsia" w:ascii="Times New Roman" w:hAnsi="Times New Roman" w:eastAsia="方正仿宋_GBK" w:cs="方正仿宋_GBK"/>
          <w:color w:val="000000"/>
          <w:w w:val="100"/>
          <w:kern w:val="0"/>
          <w:sz w:val="33"/>
          <w:szCs w:val="33"/>
          <w:highlight w:val="none"/>
          <w:shd w:val="clear" w:color="auto" w:fill="FFFFFF"/>
          <w:lang w:val="zh-CN"/>
        </w:rPr>
        <w:t>采购管理。</w:t>
      </w:r>
      <w:r>
        <w:rPr>
          <w:rFonts w:hint="eastAsia" w:ascii="Times New Roman" w:hAnsi="Times New Roman" w:eastAsia="方正仿宋_GBK" w:cs="方正仿宋_GBK"/>
          <w:color w:val="auto"/>
          <w:w w:val="100"/>
          <w:sz w:val="33"/>
          <w:szCs w:val="33"/>
          <w:highlight w:val="none"/>
          <w:lang w:val="en-US" w:eastAsia="zh-CN"/>
        </w:rPr>
        <w:t>政府采购全流程电子化实现“全覆盖”。2024年全区政府采购项目76宗，预算金额14522.43万元，成交金额13659.19万元，节资率5.94%，全流程电子化达到100%。</w:t>
      </w:r>
    </w:p>
    <w:p w14:paraId="3AAC2312">
      <w:pPr>
        <w:keepNext/>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Times New Roman" w:hAnsi="Times New Roman" w:eastAsia="方正仿宋_GBK" w:cs="方正仿宋_GBK"/>
          <w:color w:val="000000"/>
          <w:w w:val="1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常年项目绩效分析。</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该类项目总数</w:t>
      </w:r>
      <w:r>
        <w:rPr>
          <w:rFonts w:hint="eastAsia" w:eastAsia="方正仿宋_GBK" w:cs="方正仿宋_GBK"/>
          <w:color w:val="000000"/>
          <w:w w:val="100"/>
          <w:kern w:val="0"/>
          <w:sz w:val="33"/>
          <w:szCs w:val="33"/>
          <w:highlight w:val="none"/>
          <w:shd w:val="clear" w:color="auto" w:fill="FFFFFF"/>
          <w:lang w:val="en-US" w:eastAsia="zh-CN"/>
        </w:rPr>
        <w:t>2</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个，涉及预算总金额</w:t>
      </w:r>
      <w:r>
        <w:rPr>
          <w:rFonts w:hint="eastAsia" w:eastAsia="方正仿宋_GBK" w:cs="方正仿宋_GBK"/>
          <w:color w:val="000000"/>
          <w:w w:val="100"/>
          <w:kern w:val="0"/>
          <w:sz w:val="33"/>
          <w:szCs w:val="33"/>
          <w:highlight w:val="none"/>
          <w:shd w:val="clear" w:color="auto" w:fill="FFFFFF"/>
          <w:lang w:val="en-US" w:eastAsia="zh-CN"/>
        </w:rPr>
        <w:t>864.12</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万元，</w:t>
      </w:r>
      <w:r>
        <w:rPr>
          <w:rFonts w:hint="eastAsia" w:ascii="Times New Roman" w:hAnsi="Times New Roman" w:eastAsia="方正仿宋_GBK" w:cs="方正仿宋_GBK"/>
          <w:color w:val="000000"/>
          <w:w w:val="100"/>
          <w:kern w:val="0"/>
          <w:sz w:val="33"/>
          <w:szCs w:val="33"/>
          <w:highlight w:val="none"/>
          <w:shd w:val="clear" w:color="auto" w:fill="FFFFFF"/>
          <w:lang w:val="zh-CN"/>
        </w:rPr>
        <w:t>1</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w:t>
      </w:r>
      <w:r>
        <w:rPr>
          <w:rFonts w:hint="eastAsia" w:ascii="Times New Roman" w:hAnsi="Times New Roman" w:eastAsia="方正仿宋_GBK" w:cs="方正仿宋_GBK"/>
          <w:color w:val="000000"/>
          <w:w w:val="100"/>
          <w:kern w:val="0"/>
          <w:sz w:val="33"/>
          <w:szCs w:val="33"/>
          <w:highlight w:val="none"/>
          <w:shd w:val="clear" w:color="auto" w:fill="FFFFFF"/>
          <w:lang w:val="zh-CN"/>
        </w:rPr>
        <w:t>1</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2</w:t>
      </w:r>
      <w:r>
        <w:rPr>
          <w:rFonts w:hint="eastAsia" w:ascii="Times New Roman" w:hAnsi="Times New Roman" w:eastAsia="方正仿宋_GBK" w:cs="方正仿宋_GBK"/>
          <w:color w:val="000000"/>
          <w:w w:val="100"/>
          <w:kern w:val="0"/>
          <w:sz w:val="33"/>
          <w:szCs w:val="33"/>
          <w:highlight w:val="none"/>
          <w:shd w:val="clear" w:color="auto" w:fill="FFFFFF"/>
          <w:lang w:val="zh-CN"/>
        </w:rPr>
        <w:t>月预算执行总体进度为</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100</w:t>
      </w:r>
      <w:r>
        <w:rPr>
          <w:rFonts w:hint="eastAsia" w:ascii="Times New Roman" w:hAnsi="Times New Roman" w:eastAsia="方正仿宋_GBK" w:cs="方正仿宋_GBK"/>
          <w:color w:val="000000"/>
          <w:w w:val="100"/>
          <w:kern w:val="0"/>
          <w:sz w:val="33"/>
          <w:szCs w:val="33"/>
          <w:highlight w:val="none"/>
          <w:shd w:val="clear" w:color="auto" w:fill="FFFFFF"/>
          <w:lang w:val="zh-CN"/>
        </w:rPr>
        <w:t>%，其中：</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预算结余率大于</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10%</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的项目共计</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0</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个。</w:t>
      </w:r>
    </w:p>
    <w:p w14:paraId="1EB27447">
      <w:pPr>
        <w:keepNext/>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方正仿宋_GBK"/>
          <w:color w:val="000000"/>
          <w:w w:val="100"/>
          <w:kern w:val="0"/>
          <w:sz w:val="33"/>
          <w:szCs w:val="33"/>
          <w:highlight w:val="none"/>
          <w:shd w:val="clear" w:color="auto" w:fill="FFFFFF"/>
          <w:lang w:val="zh-CN" w:eastAsia="zh-CN"/>
        </w:rPr>
      </w:pP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阶段（一次性）项目绩效分析。</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该类项目总数</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3</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个，涉及预算总金额</w:t>
      </w:r>
      <w:r>
        <w:rPr>
          <w:rFonts w:hint="eastAsia" w:eastAsia="方正仿宋_GBK" w:cs="方正仿宋_GBK"/>
          <w:color w:val="000000"/>
          <w:w w:val="100"/>
          <w:kern w:val="0"/>
          <w:sz w:val="33"/>
          <w:szCs w:val="33"/>
          <w:highlight w:val="none"/>
          <w:shd w:val="clear" w:color="auto" w:fill="FFFFFF"/>
          <w:lang w:val="en-US" w:eastAsia="zh-CN"/>
        </w:rPr>
        <w:t>371.48</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万元，</w:t>
      </w:r>
      <w:r>
        <w:rPr>
          <w:rFonts w:hint="eastAsia" w:ascii="Times New Roman" w:hAnsi="Times New Roman" w:eastAsia="方正仿宋_GBK" w:cs="方正仿宋_GBK"/>
          <w:color w:val="000000"/>
          <w:w w:val="100"/>
          <w:kern w:val="0"/>
          <w:sz w:val="33"/>
          <w:szCs w:val="33"/>
          <w:highlight w:val="none"/>
          <w:shd w:val="clear" w:color="auto" w:fill="FFFFFF"/>
          <w:lang w:val="zh-CN"/>
        </w:rPr>
        <w:t>1</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w:t>
      </w:r>
      <w:r>
        <w:rPr>
          <w:rFonts w:hint="eastAsia" w:ascii="Times New Roman" w:hAnsi="Times New Roman" w:eastAsia="方正仿宋_GBK" w:cs="方正仿宋_GBK"/>
          <w:color w:val="000000"/>
          <w:w w:val="100"/>
          <w:kern w:val="0"/>
          <w:sz w:val="33"/>
          <w:szCs w:val="33"/>
          <w:highlight w:val="none"/>
          <w:shd w:val="clear" w:color="auto" w:fill="FFFFFF"/>
          <w:lang w:val="zh-CN"/>
        </w:rPr>
        <w:t>1</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2</w:t>
      </w:r>
      <w:r>
        <w:rPr>
          <w:rFonts w:hint="eastAsia" w:ascii="Times New Roman" w:hAnsi="Times New Roman" w:eastAsia="方正仿宋_GBK" w:cs="方正仿宋_GBK"/>
          <w:color w:val="000000"/>
          <w:w w:val="100"/>
          <w:kern w:val="0"/>
          <w:sz w:val="33"/>
          <w:szCs w:val="33"/>
          <w:highlight w:val="none"/>
          <w:shd w:val="clear" w:color="auto" w:fill="FFFFFF"/>
          <w:lang w:val="zh-CN"/>
        </w:rPr>
        <w:t>月预算执行总体进度为</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100</w:t>
      </w:r>
      <w:r>
        <w:rPr>
          <w:rFonts w:hint="eastAsia" w:ascii="Times New Roman" w:hAnsi="Times New Roman" w:eastAsia="方正仿宋_GBK" w:cs="方正仿宋_GBK"/>
          <w:color w:val="000000"/>
          <w:w w:val="100"/>
          <w:kern w:val="0"/>
          <w:sz w:val="33"/>
          <w:szCs w:val="33"/>
          <w:highlight w:val="none"/>
          <w:shd w:val="clear" w:color="auto" w:fill="FFFFFF"/>
          <w:lang w:val="zh-CN"/>
        </w:rPr>
        <w:t>%，其中：</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预算结余率大于</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10%</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的项目共计</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0</w:t>
      </w:r>
      <w:r>
        <w:rPr>
          <w:rFonts w:hint="eastAsia" w:ascii="Times New Roman" w:hAnsi="Times New Roman" w:eastAsia="方正仿宋_GBK" w:cs="方正仿宋_GBK"/>
          <w:color w:val="000000"/>
          <w:w w:val="100"/>
          <w:kern w:val="0"/>
          <w:sz w:val="33"/>
          <w:szCs w:val="33"/>
          <w:highlight w:val="none"/>
          <w:shd w:val="clear" w:color="auto" w:fill="FFFFFF"/>
          <w:lang w:val="zh-CN" w:eastAsia="zh-CN"/>
        </w:rPr>
        <w:t>个。</w:t>
      </w:r>
    </w:p>
    <w:p w14:paraId="0B609A47">
      <w:pPr>
        <w:keepNext/>
        <w:keepLines w:val="0"/>
        <w:pageBreakBefore w:val="0"/>
        <w:widowControl w:val="0"/>
        <w:kinsoku/>
        <w:wordWrap/>
        <w:overflowPunct/>
        <w:topLinePunct w:val="0"/>
        <w:autoSpaceDE/>
        <w:autoSpaceDN/>
        <w:bidi w:val="0"/>
        <w:adjustRightInd/>
        <w:spacing w:line="590" w:lineRule="exact"/>
        <w:ind w:firstLine="660" w:firstLineChars="200"/>
        <w:jc w:val="both"/>
        <w:textAlignment w:val="auto"/>
        <w:rPr>
          <w:rFonts w:hint="eastAsia" w:ascii="Times New Roman" w:hAnsi="Times New Roman" w:eastAsia="方正仿宋_GBK" w:cs="方正仿宋_GBK"/>
          <w:color w:val="000000"/>
          <w:w w:val="100"/>
          <w:kern w:val="0"/>
          <w:sz w:val="33"/>
          <w:szCs w:val="33"/>
          <w:highlight w:val="none"/>
          <w:shd w:val="clear" w:color="auto" w:fill="FFFFFF"/>
          <w:lang w:val="zh-CN"/>
        </w:rPr>
      </w:pP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1.</w:t>
      </w:r>
      <w:r>
        <w:rPr>
          <w:rFonts w:hint="eastAsia" w:ascii="Times New Roman" w:hAnsi="Times New Roman" w:eastAsia="方正仿宋_GBK" w:cs="方正仿宋_GBK"/>
          <w:color w:val="000000"/>
          <w:w w:val="100"/>
          <w:kern w:val="0"/>
          <w:sz w:val="33"/>
          <w:szCs w:val="33"/>
          <w:highlight w:val="none"/>
          <w:shd w:val="clear" w:color="auto" w:fill="FFFFFF"/>
          <w:lang w:val="zh-CN"/>
        </w:rPr>
        <w:t>项目决策。本单位</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6个项目均按照“三重一大”</w:t>
      </w:r>
      <w:r>
        <w:rPr>
          <w:rFonts w:hint="eastAsia" w:ascii="Times New Roman" w:hAnsi="Times New Roman" w:eastAsia="方正仿宋_GBK" w:cs="方正仿宋_GBK"/>
          <w:color w:val="000000"/>
          <w:w w:val="100"/>
          <w:kern w:val="0"/>
          <w:sz w:val="33"/>
          <w:szCs w:val="33"/>
          <w:highlight w:val="none"/>
          <w:shd w:val="clear" w:color="auto" w:fill="FFFFFF"/>
          <w:lang w:val="zh-CN"/>
        </w:rPr>
        <w:t>决策程序严格审批，从项目基本情况、实施必要性、投入经济性等方面进行了事前评估，并形成了事前绩效评估报告；</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6个项目</w:t>
      </w:r>
      <w:r>
        <w:rPr>
          <w:rFonts w:hint="eastAsia" w:ascii="Times New Roman" w:hAnsi="Times New Roman" w:eastAsia="方正仿宋_GBK" w:cs="方正仿宋_GBK"/>
          <w:color w:val="000000"/>
          <w:w w:val="100"/>
          <w:sz w:val="33"/>
          <w:szCs w:val="33"/>
          <w:highlight w:val="none"/>
          <w:shd w:val="clear" w:color="auto" w:fill="FFFFFF"/>
          <w:lang w:val="en-US" w:eastAsia="zh-CN"/>
        </w:rPr>
        <w:t>绩效目标设置科学合理、规范完整、量化细化，预算资金及时下达，资金拨付及时到位并在规定时间完成入库。</w:t>
      </w:r>
    </w:p>
    <w:p w14:paraId="24967033">
      <w:pPr>
        <w:keepNext/>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方正仿宋_GBK"/>
          <w:color w:val="000000"/>
          <w:w w:val="100"/>
          <w:kern w:val="0"/>
          <w:sz w:val="33"/>
          <w:szCs w:val="33"/>
          <w:highlight w:val="none"/>
          <w:shd w:val="clear" w:color="auto" w:fill="FFFFFF"/>
          <w:lang w:val="en-US" w:eastAsia="zh-CN"/>
        </w:rPr>
      </w:pP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2.项目执行</w:t>
      </w:r>
      <w:r>
        <w:rPr>
          <w:rFonts w:hint="eastAsia" w:ascii="Times New Roman" w:hAnsi="Times New Roman" w:eastAsia="方正仿宋_GBK" w:cs="方正仿宋_GBK"/>
          <w:color w:val="000000"/>
          <w:w w:val="100"/>
          <w:kern w:val="0"/>
          <w:sz w:val="33"/>
          <w:szCs w:val="33"/>
          <w:highlight w:val="none"/>
          <w:shd w:val="clear" w:color="auto" w:fill="FFFFFF"/>
          <w:lang w:val="zh-CN"/>
        </w:rPr>
        <w:t>。本单位</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6个项目实际列支内容与绩效目标设置方向相符，项目资金开支范围、标准均符合规定</w:t>
      </w:r>
      <w:r>
        <w:rPr>
          <w:rFonts w:hint="eastAsia" w:ascii="Times New Roman" w:hAnsi="Times New Roman" w:eastAsia="方正仿宋_GBK" w:cs="方正仿宋_GBK"/>
          <w:color w:val="000000"/>
          <w:w w:val="100"/>
          <w:sz w:val="33"/>
          <w:szCs w:val="33"/>
          <w:highlight w:val="none"/>
          <w:shd w:val="clear" w:color="auto" w:fill="FFFFFF"/>
          <w:lang w:val="en-US" w:eastAsia="zh-CN"/>
        </w:rPr>
        <w:t>，预算执行进度达到100%</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w:t>
      </w:r>
    </w:p>
    <w:p w14:paraId="6E99DA86">
      <w:pPr>
        <w:keepNext/>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仿宋_GB2312" w:cs="Times New Roman"/>
          <w:sz w:val="33"/>
          <w:szCs w:val="33"/>
          <w:highlight w:val="none"/>
          <w:lang w:val="en-US" w:eastAsia="zh-CN"/>
        </w:rPr>
      </w:pP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3.</w:t>
      </w:r>
      <w:r>
        <w:rPr>
          <w:rFonts w:hint="eastAsia" w:ascii="Times New Roman" w:hAnsi="Times New Roman" w:eastAsia="方正仿宋_GBK" w:cs="方正仿宋_GBK"/>
          <w:color w:val="000000"/>
          <w:w w:val="100"/>
          <w:kern w:val="0"/>
          <w:sz w:val="33"/>
          <w:szCs w:val="33"/>
          <w:highlight w:val="none"/>
          <w:shd w:val="clear" w:color="auto" w:fill="FFFFFF"/>
          <w:lang w:val="zh-CN"/>
        </w:rPr>
        <w:t>目标实现。本单位</w:t>
      </w:r>
      <w:r>
        <w:rPr>
          <w:rFonts w:hint="eastAsia" w:eastAsia="方正仿宋_GBK" w:cs="方正仿宋_GBK"/>
          <w:color w:val="000000"/>
          <w:w w:val="100"/>
          <w:kern w:val="0"/>
          <w:sz w:val="33"/>
          <w:szCs w:val="33"/>
          <w:highlight w:val="none"/>
          <w:shd w:val="clear" w:color="auto" w:fill="FFFFFF"/>
          <w:lang w:val="en-US" w:eastAsia="zh-CN"/>
        </w:rPr>
        <w:t>2024年</w:t>
      </w:r>
      <w:r>
        <w:rPr>
          <w:rFonts w:hint="eastAsia" w:ascii="Times New Roman" w:hAnsi="Times New Roman" w:eastAsia="方正仿宋_GBK" w:cs="方正仿宋_GBK"/>
          <w:color w:val="000000"/>
          <w:w w:val="100"/>
          <w:kern w:val="0"/>
          <w:sz w:val="33"/>
          <w:szCs w:val="33"/>
          <w:highlight w:val="none"/>
          <w:shd w:val="clear" w:color="auto" w:fill="FFFFFF"/>
          <w:lang w:val="en-US" w:eastAsia="zh-CN"/>
        </w:rPr>
        <w:t>6个项目均已完成绩效目标数量指标，未出现与预期目标偏离情况。单位全年</w:t>
      </w:r>
      <w:r>
        <w:rPr>
          <w:rFonts w:hint="eastAsia" w:ascii="Times New Roman" w:hAnsi="Times New Roman" w:eastAsia="方正仿宋_GBK" w:cs="方正仿宋_GBK"/>
          <w:color w:val="auto"/>
          <w:w w:val="100"/>
          <w:sz w:val="33"/>
          <w:szCs w:val="33"/>
          <w:highlight w:val="none"/>
          <w:lang w:val="en-US" w:eastAsia="zh-CN"/>
        </w:rPr>
        <w:t>上下坚持“起步即冲刺、开局即决战”发展导向，通过加强项目监管、盘活存量资源等措施，高质量完成目标任务。</w:t>
      </w:r>
    </w:p>
    <w:p w14:paraId="2302D69A">
      <w:pPr>
        <w:keepNext/>
        <w:keepLines w:val="0"/>
        <w:pageBreakBefore w:val="0"/>
        <w:widowControl w:val="0"/>
        <w:kinsoku/>
        <w:wordWrap/>
        <w:overflowPunct/>
        <w:topLinePunct w:val="0"/>
        <w:autoSpaceDE/>
        <w:autoSpaceDN/>
        <w:bidi w:val="0"/>
        <w:snapToGrid w:val="0"/>
        <w:spacing w:line="590" w:lineRule="exact"/>
        <w:ind w:firstLine="663" w:firstLineChars="200"/>
        <w:jc w:val="both"/>
        <w:textAlignment w:val="auto"/>
        <w:rPr>
          <w:rFonts w:hint="default" w:ascii="Times New Roman" w:hAnsi="Times New Roman" w:eastAsia="仿宋_GB2312" w:cs="Times New Roman"/>
          <w:sz w:val="33"/>
          <w:szCs w:val="33"/>
          <w:highlight w:val="none"/>
          <w:u w:val="none"/>
          <w:lang w:bidi="ar"/>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eastAsia="楷体_GB2312" w:cs="Times New Roman"/>
          <w:b/>
          <w:bCs/>
          <w:color w:val="000000"/>
          <w:kern w:val="0"/>
          <w:sz w:val="33"/>
          <w:szCs w:val="33"/>
          <w:highlight w:val="none"/>
          <w:shd w:val="clear" w:color="auto" w:fill="FFFFFF"/>
          <w:lang w:val="en-US" w:eastAsia="zh-CN"/>
        </w:rPr>
        <w:t>三</w:t>
      </w:r>
      <w:r>
        <w:rPr>
          <w:rFonts w:hint="default" w:ascii="Times New Roman" w:hAnsi="Times New Roman" w:eastAsia="楷体_GB2312" w:cs="Times New Roman"/>
          <w:b/>
          <w:bCs/>
          <w:color w:val="000000"/>
          <w:kern w:val="0"/>
          <w:sz w:val="33"/>
          <w:szCs w:val="33"/>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ascii="Times New Roman" w:hAnsi="Times New Roman" w:eastAsia="方正仿宋_GBK" w:cs="方正仿宋_GBK"/>
          <w:w w:val="100"/>
          <w:sz w:val="33"/>
          <w:szCs w:val="33"/>
          <w:highlight w:val="none"/>
          <w:u w:val="none"/>
          <w:lang w:val="zh-CN" w:eastAsia="zh-CN"/>
        </w:rPr>
        <w:t>我单位充分运用绩效评价结果，不断完善预算绩效管理制度，持续改进，严格执行信息公开制度，加强运行监控，各项目实施效果较好，资金支付执行率</w:t>
      </w:r>
      <w:r>
        <w:rPr>
          <w:rFonts w:hint="eastAsia" w:ascii="Times New Roman" w:hAnsi="Times New Roman" w:eastAsia="方正仿宋_GBK" w:cs="方正仿宋_GBK"/>
          <w:w w:val="100"/>
          <w:sz w:val="33"/>
          <w:szCs w:val="33"/>
          <w:highlight w:val="none"/>
          <w:u w:val="none"/>
          <w:lang w:val="en-US" w:eastAsia="zh-CN"/>
        </w:rPr>
        <w:t>100%</w:t>
      </w:r>
      <w:r>
        <w:rPr>
          <w:rFonts w:hint="eastAsia" w:ascii="Times New Roman" w:hAnsi="Times New Roman" w:eastAsia="方正仿宋_GBK" w:cs="方正仿宋_GBK"/>
          <w:w w:val="100"/>
          <w:sz w:val="33"/>
          <w:szCs w:val="33"/>
          <w:highlight w:val="none"/>
          <w:u w:val="none"/>
          <w:lang w:val="zh-CN" w:eastAsia="zh-CN"/>
        </w:rPr>
        <w:t>，实现绩效评价目标。</w:t>
      </w:r>
    </w:p>
    <w:p w14:paraId="0C768921">
      <w:pPr>
        <w:keepNext/>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both"/>
        <w:textAlignment w:val="auto"/>
        <w:outlineLvl w:val="9"/>
        <w:rPr>
          <w:rFonts w:hint="default" w:ascii="方正黑体_GBK" w:hAnsi="方正黑体_GBK" w:eastAsia="方正黑体_GBK" w:cs="方正黑体_GBK"/>
          <w:color w:val="000000"/>
          <w:kern w:val="0"/>
          <w:sz w:val="33"/>
          <w:szCs w:val="33"/>
          <w:highlight w:val="none"/>
          <w:shd w:val="clear" w:color="auto" w:fill="FFFFFF"/>
          <w:lang w:val="zh-CN"/>
        </w:rPr>
      </w:pPr>
      <w:r>
        <w:rPr>
          <w:rFonts w:hint="default" w:ascii="方正黑体_GBK" w:hAnsi="方正黑体_GBK" w:eastAsia="方正黑体_GBK" w:cs="方正黑体_GBK"/>
          <w:color w:val="000000"/>
          <w:kern w:val="0"/>
          <w:sz w:val="33"/>
          <w:szCs w:val="33"/>
          <w:highlight w:val="none"/>
          <w:shd w:val="clear" w:color="auto" w:fill="FFFFFF"/>
          <w:lang w:val="zh-CN" w:eastAsia="zh-CN"/>
        </w:rPr>
        <w:t>四、</w:t>
      </w:r>
      <w:r>
        <w:rPr>
          <w:rFonts w:hint="default" w:ascii="方正黑体_GBK" w:hAnsi="方正黑体_GBK" w:eastAsia="方正黑体_GBK" w:cs="方正黑体_GBK"/>
          <w:color w:val="000000"/>
          <w:kern w:val="0"/>
          <w:sz w:val="33"/>
          <w:szCs w:val="33"/>
          <w:highlight w:val="none"/>
          <w:shd w:val="clear" w:color="auto" w:fill="FFFFFF"/>
          <w:lang w:val="zh-CN"/>
        </w:rPr>
        <w:t>评价结论及建议</w:t>
      </w:r>
    </w:p>
    <w:p w14:paraId="76B49673">
      <w:pPr>
        <w:keepNext/>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3" w:firstLineChars="200"/>
        <w:contextualSpacing/>
        <w:jc w:val="both"/>
        <w:textAlignment w:val="auto"/>
        <w:outlineLvl w:val="9"/>
        <w:rPr>
          <w:rFonts w:hint="default" w:ascii="Times New Roman" w:hAnsi="Times New Roman" w:eastAsia="仿宋_GB2312" w:cs="Times New Roman"/>
          <w:sz w:val="33"/>
          <w:szCs w:val="33"/>
          <w:highlight w:val="none"/>
          <w:u w:val="none"/>
          <w:lang w:val="en-US" w:eastAsia="zh-CN" w:bidi="ar"/>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r>
        <w:rPr>
          <w:rFonts w:hint="eastAsia" w:ascii="Times New Roman" w:hAnsi="Times New Roman" w:eastAsia="方正仿宋_GBK" w:cs="方正仿宋_GBK"/>
          <w:color w:val="auto"/>
          <w:w w:val="100"/>
          <w:kern w:val="2"/>
          <w:sz w:val="33"/>
          <w:szCs w:val="33"/>
          <w:highlight w:val="none"/>
          <w:lang w:val="en-US" w:eastAsia="zh-CN" w:bidi="ar-SA"/>
        </w:rPr>
        <w:t>按照预算绩效管理要求，我单位对</w:t>
      </w:r>
      <w:r>
        <w:rPr>
          <w:rFonts w:hint="eastAsia" w:eastAsia="方正仿宋_GBK" w:cs="方正仿宋_GBK"/>
          <w:color w:val="auto"/>
          <w:w w:val="100"/>
          <w:kern w:val="2"/>
          <w:sz w:val="33"/>
          <w:szCs w:val="33"/>
          <w:highlight w:val="none"/>
          <w:lang w:val="en-US" w:eastAsia="zh-CN" w:bidi="ar-SA"/>
        </w:rPr>
        <w:t>2024年</w:t>
      </w:r>
      <w:r>
        <w:rPr>
          <w:rFonts w:hint="eastAsia" w:ascii="Times New Roman" w:hAnsi="Times New Roman" w:eastAsia="方正仿宋_GBK" w:cs="方正仿宋_GBK"/>
          <w:color w:val="auto"/>
          <w:w w:val="100"/>
          <w:kern w:val="2"/>
          <w:sz w:val="33"/>
          <w:szCs w:val="33"/>
          <w:highlight w:val="none"/>
          <w:lang w:val="en-US" w:eastAsia="zh-CN" w:bidi="ar-SA"/>
        </w:rPr>
        <w:t>财政拨款收支情况开展了绩效目标管理及评价，自评得分9</w:t>
      </w:r>
      <w:r>
        <w:rPr>
          <w:rFonts w:hint="eastAsia" w:eastAsia="方正仿宋_GBK" w:cs="方正仿宋_GBK"/>
          <w:color w:val="auto"/>
          <w:w w:val="100"/>
          <w:kern w:val="2"/>
          <w:sz w:val="33"/>
          <w:szCs w:val="33"/>
          <w:highlight w:val="none"/>
          <w:lang w:val="en-US" w:eastAsia="zh-CN" w:bidi="ar-SA"/>
        </w:rPr>
        <w:t>4</w:t>
      </w:r>
      <w:r>
        <w:rPr>
          <w:rFonts w:hint="eastAsia" w:ascii="Times New Roman" w:hAnsi="Times New Roman" w:eastAsia="方正仿宋_GBK" w:cs="方正仿宋_GBK"/>
          <w:color w:val="auto"/>
          <w:w w:val="100"/>
          <w:kern w:val="2"/>
          <w:sz w:val="33"/>
          <w:szCs w:val="33"/>
          <w:highlight w:val="none"/>
          <w:lang w:val="en-US" w:eastAsia="zh-CN" w:bidi="ar-SA"/>
        </w:rPr>
        <w:t>分。全年整体绩效评价良好，实现了绩效持续性改进，提高了资金配置效率和使用效益。部门预算执行情况良好，预算支出和决算支出情况相符，未</w:t>
      </w:r>
      <w:r>
        <w:rPr>
          <w:rFonts w:hint="eastAsia" w:eastAsia="方正仿宋_GBK" w:cs="方正仿宋_GBK"/>
          <w:color w:val="auto"/>
          <w:w w:val="100"/>
          <w:kern w:val="2"/>
          <w:sz w:val="33"/>
          <w:szCs w:val="33"/>
          <w:highlight w:val="none"/>
          <w:lang w:val="en-US" w:eastAsia="zh-CN" w:bidi="ar-SA"/>
        </w:rPr>
        <w:t>出现</w:t>
      </w:r>
      <w:r>
        <w:rPr>
          <w:rFonts w:hint="eastAsia" w:ascii="Times New Roman" w:hAnsi="Times New Roman" w:eastAsia="方正仿宋_GBK" w:cs="方正仿宋_GBK"/>
          <w:color w:val="auto"/>
          <w:w w:val="100"/>
          <w:kern w:val="2"/>
          <w:sz w:val="33"/>
          <w:szCs w:val="33"/>
          <w:highlight w:val="none"/>
          <w:lang w:val="en-US" w:eastAsia="zh-CN" w:bidi="ar-SA"/>
        </w:rPr>
        <w:t>违规违纪行为。</w:t>
      </w:r>
    </w:p>
    <w:p w14:paraId="00ADE35E">
      <w:pPr>
        <w:keepNext/>
        <w:keepLines w:val="0"/>
        <w:pageBreakBefore w:val="0"/>
        <w:widowControl w:val="0"/>
        <w:kinsoku/>
        <w:wordWrap/>
        <w:overflowPunct/>
        <w:topLinePunct w:val="0"/>
        <w:autoSpaceDE/>
        <w:autoSpaceDN/>
        <w:bidi w:val="0"/>
        <w:adjustRightInd w:val="0"/>
        <w:snapToGrid w:val="0"/>
        <w:spacing w:line="590" w:lineRule="exact"/>
        <w:ind w:firstLine="663" w:firstLineChars="200"/>
        <w:contextualSpacing/>
        <w:jc w:val="both"/>
        <w:textAlignment w:val="auto"/>
        <w:outlineLvl w:val="9"/>
        <w:rPr>
          <w:rFonts w:hint="eastAsia" w:ascii="Times New Roman" w:hAnsi="Times New Roman" w:eastAsia="仿宋_GB2312" w:cs="Times New Roman"/>
          <w:sz w:val="33"/>
          <w:szCs w:val="33"/>
          <w:highlight w:val="none"/>
          <w:u w:val="none"/>
          <w:lang w:val="en-US" w:eastAsia="zh-CN" w:bidi="ar"/>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r>
        <w:rPr>
          <w:rFonts w:hint="eastAsia" w:ascii="Times New Roman" w:hAnsi="Times New Roman" w:eastAsia="方正仿宋_GBK" w:cs="方正仿宋_GBK"/>
          <w:b w:val="0"/>
          <w:bCs w:val="0"/>
          <w:w w:val="100"/>
          <w:kern w:val="0"/>
          <w:position w:val="0"/>
          <w:sz w:val="33"/>
          <w:szCs w:val="33"/>
          <w:highlight w:val="none"/>
          <w:lang w:val="en-US" w:eastAsia="zh-CN" w:bidi="ar-SA"/>
        </w:rPr>
        <w:t>预算绩效管理仍需持续改进和完善，财务人员力量薄弱，预算执行力度仍需加强。</w:t>
      </w:r>
    </w:p>
    <w:p w14:paraId="14C4D7E4">
      <w:pPr>
        <w:pStyle w:val="16"/>
        <w:keepNext/>
        <w:keepLines w:val="0"/>
        <w:pageBreakBefore w:val="0"/>
        <w:widowControl w:val="0"/>
        <w:numPr>
          <w:ilvl w:val="0"/>
          <w:numId w:val="0"/>
        </w:numPr>
        <w:kinsoku/>
        <w:wordWrap/>
        <w:overflowPunct/>
        <w:topLinePunct w:val="0"/>
        <w:autoSpaceDE/>
        <w:autoSpaceDN/>
        <w:bidi w:val="0"/>
        <w:spacing w:before="0" w:after="0" w:line="590" w:lineRule="exact"/>
        <w:ind w:firstLine="663" w:firstLineChars="200"/>
        <w:jc w:val="both"/>
        <w:textAlignment w:val="auto"/>
        <w:rPr>
          <w:rFonts w:hint="eastAsia" w:ascii="Times New Roman" w:hAnsi="Times New Roman" w:eastAsia="方正仿宋_GBK" w:cs="方正仿宋_GBK"/>
          <w:w w:val="100"/>
          <w:sz w:val="33"/>
          <w:szCs w:val="33"/>
          <w:highlight w:val="none"/>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bookmarkStart w:id="51" w:name="_Hlk110546638"/>
      <w:r>
        <w:rPr>
          <w:rFonts w:hint="eastAsia" w:ascii="Times New Roman" w:hAnsi="Times New Roman" w:eastAsia="方正仿宋_GBK" w:cs="方正仿宋_GBK"/>
          <w:w w:val="100"/>
          <w:sz w:val="33"/>
          <w:szCs w:val="33"/>
          <w:highlight w:val="none"/>
          <w:lang w:val="en-US" w:eastAsia="zh-CN"/>
        </w:rPr>
        <w:t>1.修订完善单位管理制度。根据相关文件及现阶段工作实际情况，结合内控要求，我们将不断完善各项规章制度，提升管理能力，确保工作开展程序化、规范化。</w:t>
      </w:r>
    </w:p>
    <w:p w14:paraId="341AD6C7">
      <w:pPr>
        <w:pStyle w:val="5"/>
        <w:keepNext/>
        <w:keepLines w:val="0"/>
        <w:pageBreakBefore w:val="0"/>
        <w:widowControl w:val="0"/>
        <w:kinsoku/>
        <w:wordWrap/>
        <w:overflowPunct/>
        <w:topLinePunct w:val="0"/>
        <w:autoSpaceDE/>
        <w:autoSpaceDN/>
        <w:bidi w:val="0"/>
        <w:adjustRightInd w:val="0"/>
        <w:snapToGrid w:val="0"/>
        <w:spacing w:beforeLines="0" w:line="590" w:lineRule="exact"/>
        <w:ind w:firstLine="660" w:firstLineChars="200"/>
        <w:jc w:val="both"/>
        <w:textAlignment w:val="auto"/>
        <w:rPr>
          <w:rFonts w:hint="eastAsia" w:ascii="Times New Roman" w:hAnsi="Times New Roman" w:eastAsia="仿宋_GB2312" w:cs="Times New Roman"/>
          <w:sz w:val="33"/>
          <w:szCs w:val="33"/>
          <w:highlight w:val="none"/>
          <w:u w:val="none"/>
          <w:lang w:val="en" w:eastAsia="zh-CN" w:bidi="ar"/>
        </w:rPr>
      </w:pPr>
      <w:r>
        <w:rPr>
          <w:rFonts w:hint="eastAsia" w:ascii="Times New Roman" w:hAnsi="Times New Roman" w:eastAsia="方正仿宋_GBK" w:cs="方正仿宋_GBK"/>
          <w:w w:val="100"/>
          <w:kern w:val="2"/>
          <w:sz w:val="33"/>
          <w:szCs w:val="33"/>
          <w:highlight w:val="none"/>
          <w:lang w:val="en-US" w:eastAsia="zh-CN" w:bidi="ar-SA"/>
        </w:rPr>
        <w:t>2.加强对预算绩效评价工作的重视，充分认识绩效评价的重要性，在不同资金核心绩效指标的细化、量化上下功夫，做到各级预算指标均能全面、科学地评价本单位项目资金运用情况，从而提高财政资金支出的运行效率。</w:t>
      </w:r>
    </w:p>
    <w:bookmarkEnd w:id="51"/>
    <w:p w14:paraId="3C8CEE1B">
      <w:pPr>
        <w:keepNext/>
        <w:keepLines w:val="0"/>
        <w:pageBreakBefore w:val="0"/>
        <w:widowControl w:val="0"/>
        <w:kinsoku/>
        <w:wordWrap/>
        <w:overflowPunct/>
        <w:topLinePunct w:val="0"/>
        <w:autoSpaceDE/>
        <w:autoSpaceDN/>
        <w:bidi w:val="0"/>
        <w:adjustRightInd/>
        <w:spacing w:line="590" w:lineRule="exact"/>
        <w:ind w:firstLine="660" w:firstLineChars="200"/>
        <w:jc w:val="both"/>
        <w:textAlignment w:val="auto"/>
        <w:rPr>
          <w:rFonts w:hint="eastAsia" w:ascii="Times New Roman" w:hAnsi="Times New Roman" w:eastAsia="方正仿宋_GBK" w:cs="方正仿宋_GBK"/>
          <w:color w:val="000000"/>
          <w:w w:val="100"/>
          <w:sz w:val="33"/>
          <w:szCs w:val="33"/>
          <w:highlight w:val="none"/>
          <w:shd w:val="clear" w:color="auto" w:fill="FFFFFF"/>
          <w:lang w:val="zh-CN" w:eastAsia="zh-CN"/>
        </w:rPr>
      </w:pPr>
    </w:p>
    <w:p w14:paraId="1A3D2BE2">
      <w:pPr>
        <w:keepNext/>
        <w:keepLines w:val="0"/>
        <w:pageBreakBefore w:val="0"/>
        <w:widowControl w:val="0"/>
        <w:kinsoku/>
        <w:wordWrap/>
        <w:overflowPunct/>
        <w:topLinePunct w:val="0"/>
        <w:autoSpaceDE/>
        <w:autoSpaceDN/>
        <w:bidi w:val="0"/>
        <w:adjustRightInd/>
        <w:spacing w:line="590" w:lineRule="exact"/>
        <w:ind w:firstLine="660" w:firstLineChars="200"/>
        <w:jc w:val="both"/>
        <w:textAlignment w:val="auto"/>
        <w:rPr>
          <w:rFonts w:hint="eastAsia" w:ascii="Times New Roman" w:hAnsi="Times New Roman" w:eastAsia="方正仿宋_GBK" w:cs="方正仿宋_GBK"/>
          <w:color w:val="000000"/>
          <w:w w:val="100"/>
          <w:sz w:val="33"/>
          <w:szCs w:val="33"/>
          <w:highlight w:val="none"/>
          <w:shd w:val="clear" w:color="auto" w:fill="FFFFFF"/>
          <w:lang w:val="en-US" w:eastAsia="zh-CN"/>
        </w:rPr>
        <w:sectPr>
          <w:footerReference r:id="rId8" w:type="first"/>
          <w:footerReference r:id="rId7" w:type="default"/>
          <w:pgSz w:w="11906" w:h="16838"/>
          <w:pgMar w:top="2041" w:right="1531" w:bottom="1701" w:left="1531" w:header="851" w:footer="1077" w:gutter="0"/>
          <w:pgNumType w:fmt="decimal" w:start="1"/>
          <w:cols w:space="0" w:num="1"/>
          <w:rtlGutter w:val="0"/>
          <w:docGrid w:type="lines" w:linePitch="312" w:charSpace="0"/>
        </w:sectPr>
      </w:pPr>
      <w:r>
        <w:rPr>
          <w:rFonts w:hint="eastAsia" w:ascii="Times New Roman" w:hAnsi="Times New Roman" w:eastAsia="方正仿宋_GBK" w:cs="方正仿宋_GBK"/>
          <w:color w:val="000000"/>
          <w:w w:val="100"/>
          <w:sz w:val="33"/>
          <w:szCs w:val="33"/>
          <w:highlight w:val="none"/>
          <w:shd w:val="clear" w:color="auto" w:fill="FFFFFF"/>
          <w:lang w:val="zh-CN" w:eastAsia="zh-CN"/>
        </w:rPr>
        <w:t>附表：</w:t>
      </w:r>
      <w:r>
        <w:rPr>
          <w:rFonts w:hint="eastAsia" w:ascii="Times New Roman" w:hAnsi="Times New Roman" w:eastAsia="方正仿宋_GBK" w:cs="方正仿宋_GBK"/>
          <w:color w:val="000000"/>
          <w:w w:val="100"/>
          <w:sz w:val="33"/>
          <w:szCs w:val="33"/>
          <w:highlight w:val="none"/>
          <w:shd w:val="clear" w:color="auto" w:fill="FFFFFF"/>
          <w:lang w:val="en-US" w:eastAsia="zh-CN"/>
        </w:rPr>
        <w:t>部门预算项目支出绩效自评表</w:t>
      </w:r>
      <w:r>
        <w:rPr>
          <w:rFonts w:hint="eastAsia" w:ascii="Times New Roman" w:hAnsi="Times New Roman" w:eastAsia="方正仿宋_GBK" w:cs="方正仿宋_GBK"/>
          <w:color w:val="000000"/>
          <w:w w:val="100"/>
          <w:sz w:val="33"/>
          <w:szCs w:val="33"/>
          <w:highlight w:val="none"/>
          <w:shd w:val="clear" w:color="auto" w:fill="FFFFFF"/>
          <w:lang w:val="zh-CN" w:eastAsia="zh-CN"/>
        </w:rPr>
        <w:t>（2024年度）</w:t>
      </w:r>
    </w:p>
    <w:p w14:paraId="3AF73267">
      <w:pPr>
        <w:keepNext/>
        <w:keepLines w:val="0"/>
        <w:pageBreakBefore w:val="0"/>
        <w:widowControl w:val="0"/>
        <w:kinsoku/>
        <w:wordWrap/>
        <w:overflowPunct/>
        <w:topLinePunct w:val="0"/>
        <w:autoSpaceDE/>
        <w:autoSpaceDN/>
        <w:bidi w:val="0"/>
        <w:jc w:val="center"/>
        <w:textAlignment w:val="auto"/>
        <w:rPr>
          <w:rFonts w:hint="eastAsia" w:ascii="Times New Roman" w:hAnsi="Times New Roman" w:eastAsia="黑体"/>
          <w:color w:val="auto"/>
          <w:sz w:val="44"/>
          <w:szCs w:val="44"/>
          <w:highlight w:val="none"/>
        </w:rPr>
      </w:pPr>
      <w:bookmarkStart w:id="52" w:name="_Toc15396618"/>
    </w:p>
    <w:p w14:paraId="031E6935">
      <w:pPr>
        <w:keepNext/>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0"/>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第五部分 附表</w:t>
      </w:r>
      <w:bookmarkEnd w:id="49"/>
      <w:bookmarkEnd w:id="52"/>
      <w:bookmarkStart w:id="53" w:name="_Toc15396619"/>
    </w:p>
    <w:p w14:paraId="7BB68571">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p>
    <w:p w14:paraId="6D21152C">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r>
        <w:rPr>
          <w:rFonts w:hint="eastAsia" w:ascii="Times New Roman" w:hAnsi="Times New Roman" w:eastAsia="方正仿宋_GBK" w:cs="方正仿宋_GBK"/>
          <w:w w:val="100"/>
          <w:sz w:val="33"/>
          <w:szCs w:val="33"/>
          <w:highlight w:val="none"/>
          <w:u w:val="none"/>
          <w:lang w:val="zh-CN" w:eastAsia="zh-CN"/>
        </w:rPr>
        <w:t>一、收入支出决算总表</w:t>
      </w:r>
      <w:bookmarkEnd w:id="53"/>
    </w:p>
    <w:p w14:paraId="643F916F">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bookmarkStart w:id="54" w:name="_Toc15396620"/>
      <w:r>
        <w:rPr>
          <w:rFonts w:hint="eastAsia" w:ascii="Times New Roman" w:hAnsi="Times New Roman" w:eastAsia="方正仿宋_GBK" w:cs="方正仿宋_GBK"/>
          <w:w w:val="100"/>
          <w:sz w:val="33"/>
          <w:szCs w:val="33"/>
          <w:highlight w:val="none"/>
          <w:u w:val="none"/>
          <w:lang w:val="zh-CN" w:eastAsia="zh-CN"/>
        </w:rPr>
        <w:t>二、收入决算表</w:t>
      </w:r>
      <w:bookmarkEnd w:id="54"/>
    </w:p>
    <w:p w14:paraId="256C07CD">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bookmarkStart w:id="55" w:name="_Toc15396621"/>
      <w:r>
        <w:rPr>
          <w:rFonts w:hint="eastAsia" w:ascii="Times New Roman" w:hAnsi="Times New Roman" w:eastAsia="方正仿宋_GBK" w:cs="方正仿宋_GBK"/>
          <w:w w:val="100"/>
          <w:sz w:val="33"/>
          <w:szCs w:val="33"/>
          <w:highlight w:val="none"/>
          <w:u w:val="none"/>
          <w:lang w:val="zh-CN" w:eastAsia="zh-CN"/>
        </w:rPr>
        <w:t>三、支出决算表</w:t>
      </w:r>
      <w:bookmarkEnd w:id="55"/>
    </w:p>
    <w:p w14:paraId="7AC0D4FC">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bookmarkStart w:id="56" w:name="_Toc15396622"/>
      <w:r>
        <w:rPr>
          <w:rFonts w:hint="eastAsia" w:ascii="Times New Roman" w:hAnsi="Times New Roman" w:eastAsia="方正仿宋_GBK" w:cs="方正仿宋_GBK"/>
          <w:w w:val="100"/>
          <w:sz w:val="33"/>
          <w:szCs w:val="33"/>
          <w:highlight w:val="none"/>
          <w:u w:val="none"/>
          <w:lang w:val="zh-CN" w:eastAsia="zh-CN"/>
        </w:rPr>
        <w:t>四、财政拨款收入支出决算总表</w:t>
      </w:r>
      <w:bookmarkEnd w:id="56"/>
    </w:p>
    <w:p w14:paraId="4554AC33">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bookmarkStart w:id="57" w:name="_Toc15396623"/>
      <w:r>
        <w:rPr>
          <w:rFonts w:hint="eastAsia" w:ascii="Times New Roman" w:hAnsi="Times New Roman" w:eastAsia="方正仿宋_GBK" w:cs="方正仿宋_GBK"/>
          <w:w w:val="100"/>
          <w:sz w:val="33"/>
          <w:szCs w:val="33"/>
          <w:highlight w:val="none"/>
          <w:u w:val="none"/>
          <w:lang w:val="zh-CN" w:eastAsia="zh-CN"/>
        </w:rPr>
        <w:t>五、财政拨款支出决算明细表</w:t>
      </w:r>
      <w:bookmarkEnd w:id="57"/>
      <w:bookmarkStart w:id="58" w:name="_Toc15396624"/>
    </w:p>
    <w:p w14:paraId="5F697C64">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r>
        <w:rPr>
          <w:rFonts w:hint="eastAsia" w:ascii="Times New Roman" w:hAnsi="Times New Roman" w:eastAsia="方正仿宋_GBK" w:cs="方正仿宋_GBK"/>
          <w:w w:val="100"/>
          <w:sz w:val="33"/>
          <w:szCs w:val="33"/>
          <w:highlight w:val="none"/>
          <w:u w:val="none"/>
          <w:lang w:val="zh-CN" w:eastAsia="zh-CN"/>
        </w:rPr>
        <w:t>六、一般公共预算财政拨款支出决算表</w:t>
      </w:r>
      <w:bookmarkEnd w:id="58"/>
    </w:p>
    <w:p w14:paraId="77E4C8E8">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bookmarkStart w:id="59" w:name="_Toc15396625"/>
      <w:r>
        <w:rPr>
          <w:rFonts w:hint="eastAsia" w:ascii="Times New Roman" w:hAnsi="Times New Roman" w:eastAsia="方正仿宋_GBK" w:cs="方正仿宋_GBK"/>
          <w:w w:val="100"/>
          <w:sz w:val="33"/>
          <w:szCs w:val="33"/>
          <w:highlight w:val="none"/>
          <w:u w:val="none"/>
          <w:lang w:val="zh-CN" w:eastAsia="zh-CN"/>
        </w:rPr>
        <w:t>七、一般公共预算财政拨款支出决算明细表</w:t>
      </w:r>
      <w:bookmarkEnd w:id="59"/>
    </w:p>
    <w:p w14:paraId="0A68D97E">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bookmarkStart w:id="60" w:name="_Toc15396626"/>
      <w:r>
        <w:rPr>
          <w:rFonts w:hint="eastAsia" w:ascii="Times New Roman" w:hAnsi="Times New Roman" w:eastAsia="方正仿宋_GBK" w:cs="方正仿宋_GBK"/>
          <w:w w:val="100"/>
          <w:sz w:val="33"/>
          <w:szCs w:val="33"/>
          <w:highlight w:val="none"/>
          <w:u w:val="none"/>
          <w:lang w:val="zh-CN" w:eastAsia="zh-CN"/>
        </w:rPr>
        <w:t>八、一般公共预算财政拨款基本支出决算表</w:t>
      </w:r>
      <w:bookmarkEnd w:id="60"/>
    </w:p>
    <w:p w14:paraId="1C3938DF">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bookmarkStart w:id="61" w:name="_Toc15396627"/>
      <w:r>
        <w:rPr>
          <w:rFonts w:hint="eastAsia" w:ascii="Times New Roman" w:hAnsi="Times New Roman" w:eastAsia="方正仿宋_GBK" w:cs="方正仿宋_GBK"/>
          <w:w w:val="100"/>
          <w:sz w:val="33"/>
          <w:szCs w:val="33"/>
          <w:highlight w:val="none"/>
          <w:u w:val="none"/>
          <w:lang w:val="zh-CN" w:eastAsia="zh-CN"/>
        </w:rPr>
        <w:t>九、一般公共预算财政拨款项目支出决算表</w:t>
      </w:r>
      <w:bookmarkEnd w:id="61"/>
    </w:p>
    <w:p w14:paraId="6ACBD521">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bookmarkStart w:id="62" w:name="_Toc15396628"/>
      <w:r>
        <w:rPr>
          <w:rFonts w:hint="eastAsia" w:ascii="Times New Roman" w:hAnsi="Times New Roman" w:eastAsia="方正仿宋_GBK" w:cs="方正仿宋_GBK"/>
          <w:w w:val="100"/>
          <w:sz w:val="33"/>
          <w:szCs w:val="33"/>
          <w:highlight w:val="none"/>
          <w:u w:val="none"/>
          <w:lang w:val="zh-CN" w:eastAsia="zh-CN"/>
        </w:rPr>
        <w:t>十、</w:t>
      </w:r>
      <w:bookmarkEnd w:id="62"/>
      <w:r>
        <w:rPr>
          <w:rFonts w:hint="eastAsia" w:ascii="Times New Roman" w:hAnsi="Times New Roman" w:eastAsia="方正仿宋_GBK" w:cs="方正仿宋_GBK"/>
          <w:w w:val="100"/>
          <w:sz w:val="33"/>
          <w:szCs w:val="33"/>
          <w:highlight w:val="none"/>
          <w:u w:val="none"/>
          <w:lang w:val="zh-CN" w:eastAsia="zh-CN"/>
        </w:rPr>
        <w:t>政府性基金预算财政拨款收入支出决算表</w:t>
      </w:r>
    </w:p>
    <w:p w14:paraId="1FC58BDE">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bookmarkStart w:id="63" w:name="_Toc15396629"/>
      <w:r>
        <w:rPr>
          <w:rFonts w:hint="eastAsia" w:ascii="Times New Roman" w:hAnsi="Times New Roman" w:eastAsia="方正仿宋_GBK" w:cs="方正仿宋_GBK"/>
          <w:w w:val="100"/>
          <w:sz w:val="33"/>
          <w:szCs w:val="33"/>
          <w:highlight w:val="none"/>
          <w:u w:val="none"/>
          <w:lang w:val="zh-CN" w:eastAsia="zh-CN"/>
        </w:rPr>
        <w:t>十一、</w:t>
      </w:r>
      <w:bookmarkEnd w:id="63"/>
      <w:r>
        <w:rPr>
          <w:rFonts w:hint="eastAsia" w:ascii="Times New Roman" w:hAnsi="Times New Roman" w:eastAsia="方正仿宋_GBK" w:cs="方正仿宋_GBK"/>
          <w:w w:val="100"/>
          <w:sz w:val="33"/>
          <w:szCs w:val="33"/>
          <w:highlight w:val="none"/>
          <w:u w:val="none"/>
          <w:lang w:val="zh-CN" w:eastAsia="zh-CN"/>
        </w:rPr>
        <w:t>国有资本经营预算财政拨款收入支出决算表</w:t>
      </w:r>
    </w:p>
    <w:p w14:paraId="607F0811">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bookmarkStart w:id="64" w:name="_Toc15396630"/>
      <w:r>
        <w:rPr>
          <w:rFonts w:hint="eastAsia" w:ascii="Times New Roman" w:hAnsi="Times New Roman" w:eastAsia="方正仿宋_GBK" w:cs="方正仿宋_GBK"/>
          <w:w w:val="100"/>
          <w:sz w:val="33"/>
          <w:szCs w:val="33"/>
          <w:highlight w:val="none"/>
          <w:u w:val="none"/>
          <w:lang w:val="zh-CN" w:eastAsia="zh-CN"/>
        </w:rPr>
        <w:t>十二、</w:t>
      </w:r>
      <w:bookmarkEnd w:id="64"/>
      <w:r>
        <w:rPr>
          <w:rFonts w:hint="eastAsia" w:ascii="Times New Roman" w:hAnsi="Times New Roman" w:eastAsia="方正仿宋_GBK" w:cs="方正仿宋_GBK"/>
          <w:w w:val="100"/>
          <w:sz w:val="33"/>
          <w:szCs w:val="33"/>
          <w:highlight w:val="none"/>
          <w:u w:val="none"/>
          <w:lang w:val="zh-CN" w:eastAsia="zh-CN"/>
        </w:rPr>
        <w:t>国有资本经营预算财政拨款支出决算表</w:t>
      </w:r>
    </w:p>
    <w:p w14:paraId="1153F455">
      <w:pPr>
        <w:keepNext/>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w w:val="100"/>
          <w:sz w:val="33"/>
          <w:szCs w:val="33"/>
          <w:highlight w:val="none"/>
          <w:u w:val="none"/>
          <w:lang w:val="zh-CN" w:eastAsia="zh-CN"/>
        </w:rPr>
      </w:pPr>
      <w:bookmarkStart w:id="65" w:name="_Toc15396631"/>
      <w:r>
        <w:rPr>
          <w:rFonts w:hint="eastAsia" w:ascii="Times New Roman" w:hAnsi="Times New Roman" w:eastAsia="方正仿宋_GBK" w:cs="方正仿宋_GBK"/>
          <w:w w:val="100"/>
          <w:sz w:val="33"/>
          <w:szCs w:val="33"/>
          <w:highlight w:val="none"/>
          <w:u w:val="none"/>
          <w:lang w:val="zh-CN" w:eastAsia="zh-CN"/>
        </w:rPr>
        <w:t>十三、</w:t>
      </w:r>
      <w:bookmarkEnd w:id="65"/>
      <w:r>
        <w:rPr>
          <w:rFonts w:hint="eastAsia" w:ascii="Times New Roman" w:hAnsi="Times New Roman" w:eastAsia="方正仿宋_GBK" w:cs="方正仿宋_GBK"/>
          <w:w w:val="100"/>
          <w:sz w:val="33"/>
          <w:szCs w:val="33"/>
          <w:highlight w:val="none"/>
          <w:u w:val="none"/>
          <w:lang w:val="zh-CN" w:eastAsia="zh-CN"/>
        </w:rPr>
        <w:t>财政拨款“三公”经费支出决算表</w:t>
      </w:r>
    </w:p>
    <w:p w14:paraId="01D165F8">
      <w:pPr>
        <w:keepNext/>
        <w:keepLines w:val="0"/>
        <w:pageBreakBefore w:val="0"/>
        <w:widowControl w:val="0"/>
        <w:kinsoku/>
        <w:wordWrap/>
        <w:overflowPunct/>
        <w:topLinePunct w:val="0"/>
        <w:autoSpaceDE/>
        <w:autoSpaceDN/>
        <w:bidi w:val="0"/>
        <w:textAlignment w:val="auto"/>
        <w:rPr>
          <w:rFonts w:hint="eastAsia" w:ascii="Times New Roman" w:hAnsi="Times New Roman"/>
          <w:highlight w:val="none"/>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88E8C">
    <w:pPr>
      <w:pStyle w:val="10"/>
      <w:jc w:val="center"/>
    </w:pPr>
  </w:p>
  <w:p w14:paraId="4C02EB5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A892">
    <w:pPr>
      <w:pStyle w:val="10"/>
      <w:jc w:val="center"/>
    </w:pPr>
  </w:p>
  <w:p w14:paraId="521C687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DE4E">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B4D5">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E4309">
                          <w:pPr>
                            <w:pStyle w:val="10"/>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5pt;height:144pt;width:144pt;mso-position-horizontal:outside;mso-position-horizontal-relative:margin;mso-wrap-style:none;z-index:251663360;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xt+4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14:paraId="516E4309">
                    <w:pPr>
                      <w:pStyle w:val="10"/>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5185A55">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00BA6">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40B49">
                          <w:pPr>
                            <w:pStyle w:val="10"/>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5pt;height:144pt;width:144pt;mso-position-horizontal:outside;mso-position-horizontal-relative:margin;mso-wrap-style:none;z-index:251664384;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Kmor5U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nG37jWAAAACAEAAA8AAAAAAAAAAQAgAAAAIgAAAGRycy9kb3ducmV2LnhtbFBL&#10;AQIUABQAAAAIAIdO4kCpqK+VMQIAAGMEAAAOAAAAAAAAAAEAIAAAACUBAABkcnMvZTJvRG9jLnht&#10;bFBLBQYAAAAABgAGAFkBAADIBQAAAAA=&#10;">
              <v:fill on="f" focussize="0,0"/>
              <v:stroke on="f" weight="0.5pt"/>
              <v:imagedata o:title=""/>
              <o:lock v:ext="edit" aspectratio="f"/>
              <v:textbox inset="0mm,0mm,0mm,0mm" style="mso-fit-shape-to-text:t;">
                <w:txbxContent>
                  <w:p w14:paraId="26A40B49">
                    <w:pPr>
                      <w:pStyle w:val="10"/>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91CD7">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50436D"/>
    <w:rsid w:val="04916F1E"/>
    <w:rsid w:val="061E35DE"/>
    <w:rsid w:val="06677F89"/>
    <w:rsid w:val="066E0107"/>
    <w:rsid w:val="06B843C5"/>
    <w:rsid w:val="07996F6E"/>
    <w:rsid w:val="07DFD8BA"/>
    <w:rsid w:val="09867E8F"/>
    <w:rsid w:val="0A2032A3"/>
    <w:rsid w:val="0CA8290A"/>
    <w:rsid w:val="0D35B1ED"/>
    <w:rsid w:val="0E254B6B"/>
    <w:rsid w:val="0EB863CE"/>
    <w:rsid w:val="0F98263C"/>
    <w:rsid w:val="101860EC"/>
    <w:rsid w:val="101C1DE4"/>
    <w:rsid w:val="101F47CC"/>
    <w:rsid w:val="10C055FF"/>
    <w:rsid w:val="11694EBD"/>
    <w:rsid w:val="11772AA4"/>
    <w:rsid w:val="118107EC"/>
    <w:rsid w:val="11C23F91"/>
    <w:rsid w:val="12E24EE2"/>
    <w:rsid w:val="136A10B9"/>
    <w:rsid w:val="13D50BC4"/>
    <w:rsid w:val="14B17F78"/>
    <w:rsid w:val="16013DCC"/>
    <w:rsid w:val="165E0673"/>
    <w:rsid w:val="16B831D5"/>
    <w:rsid w:val="16BB723D"/>
    <w:rsid w:val="17E50567"/>
    <w:rsid w:val="186504BB"/>
    <w:rsid w:val="19A445FC"/>
    <w:rsid w:val="1B2925B1"/>
    <w:rsid w:val="1BE8440E"/>
    <w:rsid w:val="1CCE2226"/>
    <w:rsid w:val="1D155CEE"/>
    <w:rsid w:val="1D1638FE"/>
    <w:rsid w:val="1E312DEB"/>
    <w:rsid w:val="1E740ACF"/>
    <w:rsid w:val="1F3D3AFC"/>
    <w:rsid w:val="1F515CFA"/>
    <w:rsid w:val="1FEE6F2E"/>
    <w:rsid w:val="1FF35744"/>
    <w:rsid w:val="1FF6BC77"/>
    <w:rsid w:val="20655CEA"/>
    <w:rsid w:val="2186353C"/>
    <w:rsid w:val="23860B96"/>
    <w:rsid w:val="240371BF"/>
    <w:rsid w:val="244F3473"/>
    <w:rsid w:val="24C97D99"/>
    <w:rsid w:val="25A718F0"/>
    <w:rsid w:val="25BB59F6"/>
    <w:rsid w:val="260F557C"/>
    <w:rsid w:val="26970054"/>
    <w:rsid w:val="281408E2"/>
    <w:rsid w:val="29884EB7"/>
    <w:rsid w:val="29FD04D3"/>
    <w:rsid w:val="2BB005EE"/>
    <w:rsid w:val="2BFF7BC6"/>
    <w:rsid w:val="2C8A61B5"/>
    <w:rsid w:val="2DF04E50"/>
    <w:rsid w:val="2E312AA7"/>
    <w:rsid w:val="2E586DFA"/>
    <w:rsid w:val="2ED20B55"/>
    <w:rsid w:val="2F040D46"/>
    <w:rsid w:val="2F6B035B"/>
    <w:rsid w:val="2FAE5751"/>
    <w:rsid w:val="2FB1A395"/>
    <w:rsid w:val="2FD9A7D8"/>
    <w:rsid w:val="2FDBF714"/>
    <w:rsid w:val="309061AB"/>
    <w:rsid w:val="30AB6865"/>
    <w:rsid w:val="319F7F4E"/>
    <w:rsid w:val="32BD1EF1"/>
    <w:rsid w:val="3304709D"/>
    <w:rsid w:val="33A773CB"/>
    <w:rsid w:val="349D6851"/>
    <w:rsid w:val="36AA5135"/>
    <w:rsid w:val="36BE0DA7"/>
    <w:rsid w:val="376B6AA6"/>
    <w:rsid w:val="376C0B30"/>
    <w:rsid w:val="376D39B2"/>
    <w:rsid w:val="37A163A1"/>
    <w:rsid w:val="37E16F03"/>
    <w:rsid w:val="37F53A3B"/>
    <w:rsid w:val="389B6C89"/>
    <w:rsid w:val="38D469F0"/>
    <w:rsid w:val="39627CCD"/>
    <w:rsid w:val="397BAF1F"/>
    <w:rsid w:val="3AB79AF3"/>
    <w:rsid w:val="3AE834C0"/>
    <w:rsid w:val="3B7EF35A"/>
    <w:rsid w:val="3B9FDB6C"/>
    <w:rsid w:val="3BF5BC2F"/>
    <w:rsid w:val="3CEBA265"/>
    <w:rsid w:val="3D98207C"/>
    <w:rsid w:val="3DEE7CF3"/>
    <w:rsid w:val="3DFF7D7B"/>
    <w:rsid w:val="3E740A63"/>
    <w:rsid w:val="3E78745D"/>
    <w:rsid w:val="3EE17838"/>
    <w:rsid w:val="3F55381A"/>
    <w:rsid w:val="3F7F7599"/>
    <w:rsid w:val="3FF4CAE0"/>
    <w:rsid w:val="3FF7B227"/>
    <w:rsid w:val="44E268DA"/>
    <w:rsid w:val="450D13D7"/>
    <w:rsid w:val="45506656"/>
    <w:rsid w:val="486A6C7A"/>
    <w:rsid w:val="4A627F82"/>
    <w:rsid w:val="4B0C61BF"/>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253AD7"/>
    <w:rsid w:val="553218C9"/>
    <w:rsid w:val="567E1AA5"/>
    <w:rsid w:val="56E47B74"/>
    <w:rsid w:val="57175D52"/>
    <w:rsid w:val="57BD3DD4"/>
    <w:rsid w:val="59407EBE"/>
    <w:rsid w:val="5AF92295"/>
    <w:rsid w:val="5B250254"/>
    <w:rsid w:val="5BDD79E6"/>
    <w:rsid w:val="5BF561CA"/>
    <w:rsid w:val="5BFF5DFC"/>
    <w:rsid w:val="5CD71FC4"/>
    <w:rsid w:val="5D1F11B5"/>
    <w:rsid w:val="5D695134"/>
    <w:rsid w:val="5DAE1B18"/>
    <w:rsid w:val="5DE7D9E5"/>
    <w:rsid w:val="5ECEC941"/>
    <w:rsid w:val="5FBF9FF3"/>
    <w:rsid w:val="5FCD4E2C"/>
    <w:rsid w:val="5FCF00A0"/>
    <w:rsid w:val="5FEF394A"/>
    <w:rsid w:val="5FF67715"/>
    <w:rsid w:val="62532971"/>
    <w:rsid w:val="62BF3928"/>
    <w:rsid w:val="635675DA"/>
    <w:rsid w:val="63B3701E"/>
    <w:rsid w:val="647F5392"/>
    <w:rsid w:val="65E66580"/>
    <w:rsid w:val="664B1D71"/>
    <w:rsid w:val="664B4E8E"/>
    <w:rsid w:val="67277B67"/>
    <w:rsid w:val="67AA3209"/>
    <w:rsid w:val="698D0931"/>
    <w:rsid w:val="6A7FE5F3"/>
    <w:rsid w:val="6B053271"/>
    <w:rsid w:val="6BC229B5"/>
    <w:rsid w:val="6BDD78B3"/>
    <w:rsid w:val="6C4A05C8"/>
    <w:rsid w:val="6C8742B8"/>
    <w:rsid w:val="6D844AAC"/>
    <w:rsid w:val="6DBF5E93"/>
    <w:rsid w:val="6DC86A5B"/>
    <w:rsid w:val="6DFF077E"/>
    <w:rsid w:val="6E714EF0"/>
    <w:rsid w:val="6E7E3605"/>
    <w:rsid w:val="6E7FDCC7"/>
    <w:rsid w:val="6ED6A62E"/>
    <w:rsid w:val="6EDB103A"/>
    <w:rsid w:val="6EE00B15"/>
    <w:rsid w:val="6F6FB3EB"/>
    <w:rsid w:val="6F8731EA"/>
    <w:rsid w:val="6FCE6052"/>
    <w:rsid w:val="6FD57C00"/>
    <w:rsid w:val="6FEFFFD8"/>
    <w:rsid w:val="6FF5CC65"/>
    <w:rsid w:val="6FFB47EC"/>
    <w:rsid w:val="6FFF034A"/>
    <w:rsid w:val="700356EF"/>
    <w:rsid w:val="70484440"/>
    <w:rsid w:val="710820E2"/>
    <w:rsid w:val="712A28F1"/>
    <w:rsid w:val="715C0E4B"/>
    <w:rsid w:val="71992E7C"/>
    <w:rsid w:val="72233669"/>
    <w:rsid w:val="72734D90"/>
    <w:rsid w:val="72C410AF"/>
    <w:rsid w:val="73160E6D"/>
    <w:rsid w:val="7332FE48"/>
    <w:rsid w:val="735A7977"/>
    <w:rsid w:val="73731EF6"/>
    <w:rsid w:val="73AB61DA"/>
    <w:rsid w:val="73AD73D5"/>
    <w:rsid w:val="73B6EB34"/>
    <w:rsid w:val="73FA497D"/>
    <w:rsid w:val="744731E5"/>
    <w:rsid w:val="74BBD01D"/>
    <w:rsid w:val="74ED5379"/>
    <w:rsid w:val="752D3F1E"/>
    <w:rsid w:val="75DEEEC2"/>
    <w:rsid w:val="75E32345"/>
    <w:rsid w:val="762D2F6F"/>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813FC"/>
    <w:rsid w:val="7C1F3737"/>
    <w:rsid w:val="7CBFC87B"/>
    <w:rsid w:val="7CFE0F48"/>
    <w:rsid w:val="7D272ABC"/>
    <w:rsid w:val="7D7EC23E"/>
    <w:rsid w:val="7DEA7A23"/>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keepNext w:val="0"/>
      <w:widowControl/>
      <w:spacing w:before="100" w:beforeAutospacing="1" w:after="100" w:afterAutospacing="1" w:line="240" w:lineRule="auto"/>
      <w:ind w:firstLine="0" w:firstLineChars="0"/>
      <w:jc w:val="left"/>
    </w:pPr>
    <w:rPr>
      <w:rFonts w:ascii="宋体" w:hAnsi="宋体" w:cs="宋体"/>
      <w:kern w:val="0"/>
    </w:rPr>
  </w:style>
  <w:style w:type="paragraph" w:styleId="16">
    <w:name w:val="Title"/>
    <w:basedOn w:val="1"/>
    <w:next w:val="1"/>
    <w:qFormat/>
    <w:uiPriority w:val="10"/>
    <w:pPr>
      <w:spacing w:before="240" w:after="60"/>
      <w:jc w:val="center"/>
      <w:outlineLvl w:val="0"/>
    </w:pPr>
    <w:rPr>
      <w:rFonts w:ascii="Arial" w:hAnsi="Arial" w:eastAsia="宋体"/>
      <w:sz w:val="32"/>
      <w:szCs w:val="2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2"/>
    <w:qFormat/>
    <w:uiPriority w:val="9"/>
    <w:rPr>
      <w:rFonts w:ascii="Times New Roman" w:hAnsi="Times New Roman"/>
      <w:b/>
      <w:bCs/>
      <w:kern w:val="44"/>
      <w:sz w:val="44"/>
      <w:szCs w:val="44"/>
    </w:rPr>
  </w:style>
  <w:style w:type="character" w:customStyle="1" w:styleId="31">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Heading 1 Char"/>
    <w:basedOn w:val="18"/>
    <w:link w:val="2"/>
    <w:qFormat/>
    <w:locked/>
    <w:uiPriority w:val="99"/>
    <w:rPr>
      <w:rFonts w:ascii="Times New Roman" w:hAnsi="Times New Roman" w:cs="Times New Roman"/>
      <w:b/>
      <w:bCs/>
      <w:kern w:val="44"/>
      <w:sz w:val="44"/>
      <w:szCs w:val="44"/>
    </w:rPr>
  </w:style>
  <w:style w:type="character" w:customStyle="1" w:styleId="38">
    <w:name w:val="font41"/>
    <w:basedOn w:val="18"/>
    <w:qFormat/>
    <w:uiPriority w:val="0"/>
    <w:rPr>
      <w:rFonts w:hint="eastAsia" w:ascii="宋体" w:hAnsi="宋体" w:eastAsia="宋体" w:cs="宋体"/>
      <w:color w:val="000000"/>
      <w:sz w:val="18"/>
      <w:szCs w:val="18"/>
      <w:u w:val="none"/>
    </w:rPr>
  </w:style>
  <w:style w:type="character" w:customStyle="1" w:styleId="39">
    <w:name w:val="font31"/>
    <w:basedOn w:val="18"/>
    <w:qFormat/>
    <w:uiPriority w:val="0"/>
    <w:rPr>
      <w:rFonts w:hint="eastAsia" w:ascii="黑体" w:hAnsi="黑体" w:eastAsia="黑体" w:cs="黑体"/>
      <w:color w:val="000000"/>
      <w:sz w:val="18"/>
      <w:szCs w:val="18"/>
      <w:u w:val="none"/>
    </w:rPr>
  </w:style>
  <w:style w:type="character" w:customStyle="1" w:styleId="40">
    <w:name w:val="font11"/>
    <w:basedOn w:val="18"/>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110001-&#24191;&#23433;&#24066;&#21069;&#38155;&#21306;&#36130;&#25919;&#23616;_2024&#24180;&#24230;&#30465;&#32423;&#21333;&#20301;&#20915;&#31639;&#20844;&#24320;&#25991;&#23383;.doc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4037;&#20316;&#31807;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4037;&#20316;&#31807;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2270;&#34920;%20&#22312;%20110001-&#24191;&#23433;&#24066;&#21069;&#38155;&#21306;&#36130;&#25919;&#23616;_2024&#24180;&#24230;&#30465;&#32423;&#21333;&#20301;&#20915;&#31639;&#20844;&#24320;&#25991;&#23383;.doc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2270;&#34920;%20&#22312;%20110001-&#24191;&#23433;&#24066;&#21069;&#38155;&#21306;&#36130;&#25919;&#23616;_2024&#24180;&#24230;&#30465;&#32423;&#21333;&#20301;&#20915;&#31639;&#20844;&#24320;&#25991;&#23383;.doc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sz="1400" b="0" i="0" u="none" strike="noStrike" kern="1200" spc="0" baseline="0">
                <a:solidFill>
                  <a:schemeClr val="tx1">
                    <a:lumMod val="65000"/>
                    <a:lumOff val="35000"/>
                  </a:schemeClr>
                </a:solidFill>
                <a:latin typeface="+mn-lt"/>
                <a:ea typeface="+mn-ea"/>
                <a:cs typeface="+mn-cs"/>
              </a:rPr>
              <a:t>收入、支出决算总计变动情况图</a:t>
            </a:r>
            <a:endParaRPr lang="zh-CN" sz="1400" b="0" i="0" u="none" strike="noStrike" kern="1200" spc="0" baseline="0">
              <a:solidFill>
                <a:schemeClr val="tx1">
                  <a:lumMod val="65000"/>
                  <a:lumOff val="35000"/>
                </a:schemeClr>
              </a:solidFill>
              <a:latin typeface="+mn-lt"/>
              <a:ea typeface="+mn-ea"/>
              <a:cs typeface="+mn-cs"/>
            </a:endParaRPr>
          </a:p>
        </c:rich>
      </c:tx>
      <c:layout>
        <c:manualLayout>
          <c:xMode val="edge"/>
          <c:yMode val="edge"/>
          <c:x val="0.234437751004016"/>
          <c:y val="0.0228571428571429"/>
        </c:manualLayout>
      </c:layout>
      <c:overlay val="0"/>
    </c:title>
    <c:autoTitleDeleted val="0"/>
    <c:plotArea>
      <c:layout/>
      <c:barChart>
        <c:barDir val="col"/>
        <c:grouping val="clustered"/>
        <c:varyColors val="0"/>
        <c:ser>
          <c:idx val="0"/>
          <c:order val="0"/>
          <c:tx>
            <c:strRef>
              <c:f>'[图表 在 110001-广安市前锋区财政局_2024年度省级单位决算公开文字.docx]Sheet1'!$B$3</c:f>
              <c:strCache>
                <c:ptCount val="1"/>
                <c:pt idx="0">
                  <c:v>2023年</c:v>
                </c:pt>
              </c:strCache>
            </c:strRef>
          </c:tx>
          <c:spPr>
            <a:solidFill>
              <a:schemeClr val="accent1">
                <a:alpha val="100000"/>
              </a:scheme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110001-广安市前锋区财政局_2024年度省级单位决算公开文字.docx]Sheet1'!$C$2:$D$2</c:f>
              <c:strCache>
                <c:ptCount val="2"/>
                <c:pt idx="0">
                  <c:v>收入</c:v>
                </c:pt>
                <c:pt idx="1">
                  <c:v>支出</c:v>
                </c:pt>
              </c:strCache>
            </c:strRef>
          </c:cat>
          <c:val>
            <c:numRef>
              <c:f>'[图表 在 110001-广安市前锋区财政局_2024年度省级单位决算公开文字.docx]Sheet1'!$C$3:$D$3</c:f>
              <c:numCache>
                <c:formatCode>General</c:formatCode>
                <c:ptCount val="2"/>
                <c:pt idx="0">
                  <c:v>1071.02</c:v>
                </c:pt>
                <c:pt idx="1">
                  <c:v>1065.17</c:v>
                </c:pt>
              </c:numCache>
            </c:numRef>
          </c:val>
        </c:ser>
        <c:ser>
          <c:idx val="1"/>
          <c:order val="1"/>
          <c:tx>
            <c:strRef>
              <c:f>'[图表 在 110001-广安市前锋区财政局_2024年度省级单位决算公开文字.docx]Sheet1'!$B$4</c:f>
              <c:strCache>
                <c:ptCount val="1"/>
                <c:pt idx="0">
                  <c:v>2024年</c:v>
                </c:pt>
              </c:strCache>
            </c:strRef>
          </c:tx>
          <c:spPr>
            <a:solidFill>
              <a:srgbClr val="C00000"/>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110001-广安市前锋区财政局_2024年度省级单位决算公开文字.docx]Sheet1'!$C$2:$D$2</c:f>
              <c:strCache>
                <c:ptCount val="2"/>
                <c:pt idx="0">
                  <c:v>收入</c:v>
                </c:pt>
                <c:pt idx="1">
                  <c:v>支出</c:v>
                </c:pt>
              </c:strCache>
            </c:strRef>
          </c:cat>
          <c:val>
            <c:numRef>
              <c:f>'[图表 在 110001-广安市前锋区财政局_2024年度省级单位决算公开文字.docx]Sheet1'!$C$4:$D$4</c:f>
              <c:numCache>
                <c:formatCode>General</c:formatCode>
                <c:ptCount val="2"/>
                <c:pt idx="0">
                  <c:v>1135.57</c:v>
                </c:pt>
                <c:pt idx="1">
                  <c:v>1230.98</c:v>
                </c:pt>
              </c:numCache>
            </c:numRef>
          </c:val>
        </c:ser>
        <c:dLbls>
          <c:showLegendKey val="0"/>
          <c:showVal val="0"/>
          <c:showCatName val="0"/>
          <c:showSerName val="0"/>
          <c:showPercent val="0"/>
          <c:showBubbleSize val="0"/>
        </c:dLbls>
        <c:gapWidth val="219"/>
        <c:overlap val="-27"/>
        <c:axId val="598802367"/>
        <c:axId val="799221187"/>
      </c:barChart>
      <c:catAx>
        <c:axId val="59880236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9221187"/>
        <c:crosses val="autoZero"/>
        <c:auto val="1"/>
        <c:lblAlgn val="ctr"/>
        <c:lblOffset val="100"/>
        <c:noMultiLvlLbl val="0"/>
      </c:catAx>
      <c:valAx>
        <c:axId val="79922118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dash"/>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8802367"/>
        <c:crosses val="autoZero"/>
        <c:crossBetween val="between"/>
      </c:valAx>
      <c:spPr>
        <a:noFill/>
        <a:ln w="3175">
          <a:noFill/>
        </a:ln>
      </c:spPr>
    </c:plotArea>
    <c:legend>
      <c:legendPos val="b"/>
      <c:layout>
        <c:manualLayout>
          <c:xMode val="edge"/>
          <c:yMode val="edge"/>
          <c:x val="0.33425"/>
          <c:y val="0.895"/>
          <c:w val="0.331"/>
          <c:h val="0.077"/>
        </c:manualLayout>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50158e-06b6-4173-979a-288b5baf9ba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[工作簿1.xlsx]Sheet1!$B$1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[工作簿1.xlsx]Sheet1!$A$2:$A$3</c:f>
              <c:strCache>
                <c:ptCount val="2"/>
                <c:pt idx="0">
                  <c:v>一般公共预算财政拨款收入</c:v>
                </c:pt>
                <c:pt idx="1">
                  <c:v>政府性基金预算财政拨款收入</c:v>
                </c:pt>
              </c:strCache>
            </c:strRef>
          </c:cat>
          <c:val>
            <c:numRef>
              <c:f>[工作簿1.xlsx]Sheet1!$B$2:$B$3</c:f>
              <c:numCache>
                <c:formatCode>General</c:formatCode>
                <c:ptCount val="2"/>
                <c:pt idx="0">
                  <c:v>1044.97</c:v>
                </c:pt>
                <c:pt idx="1">
                  <c:v>90.6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8b6d607-caf7-49e4-8b61-a918a032a71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[工作簿1.xlsx]Sheet1!$B$1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[工作簿1.xlsx]Sheet1!$A$2:$A$3</c:f>
              <c:strCache>
                <c:ptCount val="2"/>
                <c:pt idx="0">
                  <c:v>基本支出</c:v>
                </c:pt>
                <c:pt idx="1">
                  <c:v>项目支出</c:v>
                </c:pt>
              </c:strCache>
            </c:strRef>
          </c:cat>
          <c:val>
            <c:numRef>
              <c:f>[工作簿1.xlsx]Sheet1!$B$2:$B$3</c:f>
              <c:numCache>
                <c:formatCode>General</c:formatCode>
                <c:ptCount val="2"/>
                <c:pt idx="0">
                  <c:v>826.03</c:v>
                </c:pt>
                <c:pt idx="1">
                  <c:v>404.95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462561-eeaf-42d2-aa38-26bc814558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sz="1400" b="0" i="0" u="none" strike="noStrike" kern="1200" spc="0" baseline="0">
                <a:solidFill>
                  <a:schemeClr val="tx1">
                    <a:lumMod val="65000"/>
                    <a:lumOff val="35000"/>
                  </a:schemeClr>
                </a:solidFill>
                <a:latin typeface="+mn-lt"/>
                <a:ea typeface="+mn-ea"/>
                <a:cs typeface="+mn-cs"/>
              </a:rPr>
              <a:t>财政拨款收、支决算总计变动情况</a:t>
            </a:r>
            <a:endParaRPr lang="zh-CN" sz="1400" b="0" i="0" u="none" strike="noStrike" kern="1200" spc="0" baseline="0">
              <a:solidFill>
                <a:schemeClr val="tx1">
                  <a:lumMod val="65000"/>
                  <a:lumOff val="35000"/>
                </a:schemeClr>
              </a:solidFill>
              <a:latin typeface="+mn-lt"/>
              <a:ea typeface="+mn-ea"/>
              <a:cs typeface="+mn-cs"/>
            </a:endParaRPr>
          </a:p>
        </c:rich>
      </c:tx>
      <c:layout>
        <c:manualLayout>
          <c:xMode val="edge"/>
          <c:yMode val="edge"/>
          <c:x val="0.250864083292417"/>
          <c:y val="0.0228571428571429"/>
        </c:manualLayout>
      </c:layout>
      <c:overlay val="0"/>
    </c:title>
    <c:autoTitleDeleted val="0"/>
    <c:plotArea>
      <c:layout/>
      <c:barChart>
        <c:barDir val="col"/>
        <c:grouping val="clustered"/>
        <c:varyColors val="0"/>
        <c:ser>
          <c:idx val="0"/>
          <c:order val="0"/>
          <c:tx>
            <c:strRef>
              <c:f>'[图表 在 110001-广安市前锋区财政局_2024年度省级单位决算公开文字.docx]Sheet1'!$B$3</c:f>
              <c:strCache>
                <c:ptCount val="1"/>
                <c:pt idx="0">
                  <c:v>2023年</c:v>
                </c:pt>
              </c:strCache>
            </c:strRef>
          </c:tx>
          <c:spPr>
            <a:solidFill>
              <a:schemeClr val="accent1">
                <a:alpha val="100000"/>
              </a:schemeClr>
            </a:solidFill>
            <a:ln w="3175">
              <a:noFill/>
            </a:ln>
          </c:spPr>
          <c:invertIfNegative val="0"/>
          <c:dLbls>
            <c:delete val="1"/>
          </c:dLbls>
          <c:cat>
            <c:strRef>
              <c:f>'[图表 在 110001-广安市前锋区财政局_2024年度省级单位决算公开文字.docx]Sheet1'!$C$2:$D$2</c:f>
              <c:strCache>
                <c:ptCount val="2"/>
                <c:pt idx="0">
                  <c:v>财政拨款收入</c:v>
                </c:pt>
                <c:pt idx="1">
                  <c:v>财政拨款支出</c:v>
                </c:pt>
              </c:strCache>
            </c:strRef>
          </c:cat>
          <c:val>
            <c:numRef>
              <c:f>'[图表 在 110001-广安市前锋区财政局_2024年度省级单位决算公开文字.docx]Sheet1'!$C$3:$D$3</c:f>
              <c:numCache>
                <c:formatCode>General</c:formatCode>
                <c:ptCount val="2"/>
                <c:pt idx="0">
                  <c:v>1071.02</c:v>
                </c:pt>
                <c:pt idx="1">
                  <c:v>1344.47</c:v>
                </c:pt>
              </c:numCache>
            </c:numRef>
          </c:val>
        </c:ser>
        <c:ser>
          <c:idx val="1"/>
          <c:order val="1"/>
          <c:tx>
            <c:strRef>
              <c:f>'[图表 在 110001-广安市前锋区财政局_2024年度省级单位决算公开文字.docx]Sheet1'!$B$4</c:f>
              <c:strCache>
                <c:ptCount val="1"/>
                <c:pt idx="0">
                  <c:v>2024年</c:v>
                </c:pt>
              </c:strCache>
            </c:strRef>
          </c:tx>
          <c:spPr>
            <a:solidFill>
              <a:srgbClr val="C00000"/>
            </a:solidFill>
            <a:ln w="3175">
              <a:noFill/>
            </a:ln>
          </c:spPr>
          <c:invertIfNegative val="0"/>
          <c:dLbls>
            <c:delete val="1"/>
          </c:dLbls>
          <c:cat>
            <c:strRef>
              <c:f>'[图表 在 110001-广安市前锋区财政局_2024年度省级单位决算公开文字.docx]Sheet1'!$C$2:$D$2</c:f>
              <c:strCache>
                <c:ptCount val="2"/>
                <c:pt idx="0">
                  <c:v>财政拨款收入</c:v>
                </c:pt>
                <c:pt idx="1">
                  <c:v>财政拨款支出</c:v>
                </c:pt>
              </c:strCache>
            </c:strRef>
          </c:cat>
          <c:val>
            <c:numRef>
              <c:f>'[图表 在 110001-广安市前锋区财政局_2024年度省级单位决算公开文字.docx]Sheet1'!$C$4:$D$4</c:f>
              <c:numCache>
                <c:formatCode>General</c:formatCode>
                <c:ptCount val="2"/>
                <c:pt idx="0">
                  <c:v>1044.97</c:v>
                </c:pt>
                <c:pt idx="1">
                  <c:v>1088.04</c:v>
                </c:pt>
              </c:numCache>
            </c:numRef>
          </c:val>
        </c:ser>
        <c:dLbls>
          <c:showLegendKey val="0"/>
          <c:showVal val="0"/>
          <c:showCatName val="0"/>
          <c:showSerName val="0"/>
          <c:showPercent val="0"/>
          <c:showBubbleSize val="0"/>
        </c:dLbls>
        <c:gapWidth val="219"/>
        <c:overlap val="-27"/>
        <c:axId val="598802367"/>
        <c:axId val="799221187"/>
      </c:barChart>
      <c:catAx>
        <c:axId val="59880236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9221187"/>
        <c:crosses val="autoZero"/>
        <c:auto val="1"/>
        <c:lblAlgn val="ctr"/>
        <c:lblOffset val="100"/>
        <c:noMultiLvlLbl val="0"/>
      </c:catAx>
      <c:valAx>
        <c:axId val="79922118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dash"/>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8802367"/>
        <c:crosses val="autoZero"/>
        <c:crossBetween val="between"/>
      </c:valAx>
      <c:spPr>
        <a:noFill/>
        <a:ln w="3175">
          <a:noFill/>
        </a:ln>
      </c:spPr>
    </c:plotArea>
    <c:legend>
      <c:legendPos val="b"/>
      <c:layout>
        <c:manualLayout>
          <c:xMode val="edge"/>
          <c:yMode val="edge"/>
          <c:x val="0.33425"/>
          <c:y val="0.895"/>
          <c:w val="0.331"/>
          <c:h val="0.077"/>
        </c:manualLayout>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8bee9a3-2f09-4af7-9daf-460d986f489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"一般公共预算财政拨款支出决算变动情况"</c:f>
              <c:strCache>
                <c:ptCount val="1"/>
                <c:pt idx="0">
                  <c:v>一般公共预算财政拨款支出决算变动情况</c:v>
                </c:pt>
              </c:strCache>
            </c:strRef>
          </c:tx>
          <c:spPr>
            <a:solidFill>
              <a:schemeClr val="accent1"/>
            </a:solidFill>
            <a:ln>
              <a:noFill/>
            </a:ln>
            <a:effectLst/>
          </c:spPr>
          <c:invertIfNegative val="0"/>
          <c:dLbls>
            <c:delete val="1"/>
          </c:dLbls>
          <c:cat>
            <c:strRef>
              <c:f>'[图表 在 110001-广安市前锋区财政局_2024年度省级单位决算公开文字.docx]Sheet1'!$B$24:$B$25</c:f>
              <c:strCache>
                <c:ptCount val="2"/>
                <c:pt idx="0">
                  <c:v>2023年</c:v>
                </c:pt>
                <c:pt idx="1">
                  <c:v>2024年</c:v>
                </c:pt>
              </c:strCache>
            </c:strRef>
          </c:cat>
          <c:val>
            <c:numRef>
              <c:f>'[图表 在 110001-广安市前锋区财政局_2024年度省级单位决算公开文字.docx]Sheet1'!$C$24:$C$25</c:f>
              <c:numCache>
                <c:formatCode>General</c:formatCode>
                <c:ptCount val="2"/>
                <c:pt idx="0">
                  <c:v>1211.1</c:v>
                </c:pt>
                <c:pt idx="1">
                  <c:v>1088.04</c:v>
                </c:pt>
              </c:numCache>
            </c:numRef>
          </c:val>
        </c:ser>
        <c:dLbls>
          <c:showLegendKey val="0"/>
          <c:showVal val="0"/>
          <c:showCatName val="0"/>
          <c:showSerName val="0"/>
          <c:showPercent val="0"/>
          <c:showBubbleSize val="0"/>
        </c:dLbls>
        <c:gapWidth val="246"/>
        <c:overlap val="-28"/>
        <c:axId val="823722803"/>
        <c:axId val="798221040"/>
      </c:barChart>
      <c:catAx>
        <c:axId val="8237228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8221040"/>
        <c:crosses val="autoZero"/>
        <c:auto val="1"/>
        <c:lblAlgn val="ctr"/>
        <c:lblOffset val="100"/>
        <c:noMultiLvlLbl val="0"/>
      </c:catAx>
      <c:valAx>
        <c:axId val="7982210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372280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ed7831b-983e-4f06-9279-0460112a407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[工作簿1.xlsx]Sheet1!$B$1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{"一般公共服务支出","社会保障和就业支出","卫生健康支出","农林水支出","住房保障支出"}</c:f>
              <c:strCache>
                <c:ptCount val="5"/>
                <c:pt idx="0">
                  <c:v>一般公共服务支出</c:v>
                </c:pt>
                <c:pt idx="1">
                  <c:v>社会保障和就业支出</c:v>
                </c:pt>
                <c:pt idx="2">
                  <c:v>卫生健康支出</c:v>
                </c:pt>
                <c:pt idx="3">
                  <c:v>农林水支出</c:v>
                </c:pt>
                <c:pt idx="4">
                  <c:v>住房保障支出</c:v>
                </c:pt>
              </c:strCache>
            </c:strRef>
          </c:cat>
          <c:val>
            <c:numRef>
              <c:f>{892.76,100.18,27.32,2.9,64.88}</c:f>
              <c:numCache>
                <c:formatCode>General</c:formatCode>
                <c:ptCount val="5"/>
                <c:pt idx="0">
                  <c:v>892.76</c:v>
                </c:pt>
                <c:pt idx="1">
                  <c:v>100.18</c:v>
                </c:pt>
                <c:pt idx="2">
                  <c:v>27.32</c:v>
                </c:pt>
                <c:pt idx="3">
                  <c:v>2.9</c:v>
                </c:pt>
                <c:pt idx="4">
                  <c:v>64.88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0437780-73f1-48dc-8915-970e7f59b62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6973684210526"/>
          <c:y val="0.160919540229885"/>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[工作簿1.xlsx]Sheet1!$B$1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[工作簿1.xlsx]Sheet1!$A$2:$A$4</c:f>
              <c:strCache>
                <c:ptCount val="3"/>
                <c:pt idx="0">
                  <c:v>因公出国（境）经费支出</c:v>
                </c:pt>
                <c:pt idx="1">
                  <c:v>公务用车购置及运行维护费支出</c:v>
                </c:pt>
                <c:pt idx="2">
                  <c:v>公务接待费支出</c:v>
                </c:pt>
              </c:strCache>
            </c:strRef>
          </c:cat>
          <c:val>
            <c:numRef>
              <c:f>[工作簿1.xlsx]Sheet1!$B$2:$B$4</c:f>
              <c:numCache>
                <c:formatCode>General</c:formatCode>
                <c:ptCount val="3"/>
                <c:pt idx="2">
                  <c:v>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0902631578947368"/>
          <c:y val="0.04597701149425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6b98555-e9fe-45aa-9634-a47ab5abbfb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10242</Words>
  <Characters>11082</Characters>
  <Lines>61</Lines>
  <Paragraphs>17</Paragraphs>
  <TotalTime>131</TotalTime>
  <ScaleCrop>false</ScaleCrop>
  <LinksUpToDate>false</LinksUpToDate>
  <CharactersWithSpaces>11170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新闻日报</cp:lastModifiedBy>
  <cp:lastPrinted>2025-10-20T07:45:00Z</cp:lastPrinted>
  <dcterms:modified xsi:type="dcterms:W3CDTF">2025-11-03T03:43:34Z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66ED746812DA436BA9AB17B2D6391D6B_13</vt:lpwstr>
  </property>
  <property fmtid="{D5CDD505-2E9C-101B-9397-08002B2CF9AE}" pid="4" name="KSOTemplateDocerSaveRecord">
    <vt:lpwstr>eyJoZGlkIjoiZjE1YWRhNmVhZDNjZTAyY2Y0ZWI5NDMyZTk0ZjZjODEiLCJ1c2VySWQiOiIyMjczODM5NjEifQ==</vt:lpwstr>
  </property>
</Properties>
</file>