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3107B">
      <w:pPr>
        <w:spacing w:line="600" w:lineRule="exact"/>
        <w:jc w:val="center"/>
        <w:outlineLvl w:val="0"/>
        <w:rPr>
          <w:rFonts w:ascii="方正小标宋简体" w:hAnsi="宋体" w:eastAsia="方正小标宋简体"/>
          <w:color w:val="000000"/>
          <w:sz w:val="72"/>
          <w:szCs w:val="72"/>
        </w:rPr>
      </w:pPr>
      <w:bookmarkStart w:id="0" w:name="_Toc15306267"/>
      <w:bookmarkStart w:id="71" w:name="_GoBack"/>
      <w:bookmarkEnd w:id="71"/>
    </w:p>
    <w:p w14:paraId="61723758">
      <w:pPr>
        <w:spacing w:line="600" w:lineRule="exact"/>
        <w:jc w:val="center"/>
        <w:outlineLvl w:val="0"/>
        <w:rPr>
          <w:rFonts w:ascii="方正小标宋简体" w:hAnsi="宋体" w:eastAsia="方正小标宋简体"/>
          <w:color w:val="000000"/>
          <w:sz w:val="72"/>
          <w:szCs w:val="72"/>
        </w:rPr>
      </w:pPr>
    </w:p>
    <w:p w14:paraId="711A091C">
      <w:pPr>
        <w:spacing w:line="600" w:lineRule="exact"/>
        <w:jc w:val="center"/>
        <w:outlineLvl w:val="0"/>
        <w:rPr>
          <w:rFonts w:ascii="方正小标宋简体" w:hAnsi="宋体" w:eastAsia="方正小标宋简体"/>
          <w:color w:val="000000"/>
          <w:sz w:val="72"/>
          <w:szCs w:val="72"/>
        </w:rPr>
      </w:pPr>
    </w:p>
    <w:p w14:paraId="7AD1C33D">
      <w:pPr>
        <w:spacing w:line="600" w:lineRule="exact"/>
        <w:jc w:val="center"/>
        <w:outlineLvl w:val="0"/>
        <w:rPr>
          <w:rFonts w:ascii="方正小标宋简体" w:hAnsi="宋体" w:eastAsia="方正小标宋简体"/>
          <w:color w:val="000000"/>
          <w:sz w:val="72"/>
          <w:szCs w:val="72"/>
        </w:rPr>
      </w:pPr>
    </w:p>
    <w:p w14:paraId="2391B83F">
      <w:pPr>
        <w:adjustRightInd w:val="0"/>
        <w:snapToGrid w:val="0"/>
        <w:spacing w:line="360" w:lineRule="auto"/>
        <w:jc w:val="center"/>
        <w:outlineLvl w:val="0"/>
        <w:rPr>
          <w:rFonts w:ascii="方正小标宋简体" w:hAnsi="宋体" w:eastAsia="方正小标宋简体"/>
          <w:color w:val="000000"/>
          <w:sz w:val="52"/>
          <w:szCs w:val="52"/>
        </w:rPr>
      </w:pPr>
      <w:bookmarkStart w:id="1" w:name="_Toc15377193"/>
      <w:bookmarkStart w:id="2" w:name="_Toc15396475"/>
      <w:bookmarkStart w:id="3" w:name="_Toc15396597"/>
      <w:bookmarkStart w:id="4" w:name="_Toc15378441"/>
      <w:bookmarkStart w:id="5" w:name="_Toc15377425"/>
      <w:r>
        <w:rPr>
          <w:rFonts w:ascii="黑体" w:hAnsi="黑体" w:eastAsia="黑体"/>
          <w:color w:val="000000"/>
          <w:sz w:val="52"/>
          <w:szCs w:val="52"/>
        </w:rPr>
        <w:t>201</w:t>
      </w:r>
      <w:r>
        <w:rPr>
          <w:rFonts w:hint="eastAsia" w:ascii="黑体" w:hAnsi="黑体" w:eastAsia="黑体"/>
          <w:color w:val="000000"/>
          <w:sz w:val="52"/>
          <w:szCs w:val="52"/>
        </w:rPr>
        <w:t>9</w:t>
      </w:r>
      <w:r>
        <w:rPr>
          <w:rFonts w:hint="eastAsia" w:ascii="方正小标宋简体" w:hAnsi="宋体" w:eastAsia="方正小标宋简体"/>
          <w:color w:val="000000"/>
          <w:sz w:val="52"/>
          <w:szCs w:val="52"/>
        </w:rPr>
        <w:t>年度</w:t>
      </w:r>
      <w:bookmarkEnd w:id="1"/>
      <w:bookmarkEnd w:id="2"/>
      <w:bookmarkEnd w:id="3"/>
      <w:bookmarkEnd w:id="4"/>
      <w:bookmarkEnd w:id="5"/>
    </w:p>
    <w:p w14:paraId="6AB079D4">
      <w:pPr>
        <w:adjustRightInd w:val="0"/>
        <w:snapToGrid w:val="0"/>
        <w:spacing w:line="360" w:lineRule="auto"/>
        <w:jc w:val="center"/>
        <w:outlineLvl w:val="0"/>
        <w:rPr>
          <w:rFonts w:hint="eastAsia" w:ascii="方正小标宋简体" w:hAnsi="宋体" w:eastAsia="方正小标宋简体"/>
          <w:color w:val="000000"/>
          <w:sz w:val="52"/>
          <w:szCs w:val="52"/>
          <w:lang w:val="en-US" w:eastAsia="zh-CN"/>
        </w:rPr>
      </w:pPr>
      <w:bookmarkStart w:id="6" w:name="_Toc15377426"/>
      <w:bookmarkStart w:id="7" w:name="_Toc15396598"/>
      <w:bookmarkStart w:id="8" w:name="_Toc15378442"/>
      <w:bookmarkStart w:id="9" w:name="_Toc15396476"/>
      <w:bookmarkStart w:id="10" w:name="_Toc15377194"/>
      <w:r>
        <w:rPr>
          <w:rFonts w:hint="eastAsia" w:ascii="方正小标宋简体" w:hAnsi="宋体" w:eastAsia="方正小标宋简体"/>
          <w:color w:val="000000"/>
          <w:sz w:val="52"/>
          <w:szCs w:val="52"/>
        </w:rPr>
        <w:t>广安市</w:t>
      </w:r>
      <w:r>
        <w:rPr>
          <w:rFonts w:hint="eastAsia" w:ascii="方正小标宋简体" w:hAnsi="宋体" w:eastAsia="方正小标宋简体"/>
          <w:color w:val="000000"/>
          <w:sz w:val="52"/>
          <w:szCs w:val="52"/>
          <w:lang w:eastAsia="zh-CN"/>
        </w:rPr>
        <w:t>前锋区</w:t>
      </w:r>
      <w:bookmarkEnd w:id="0"/>
      <w:bookmarkStart w:id="11" w:name="_Toc15306268"/>
      <w:r>
        <w:rPr>
          <w:rFonts w:hint="eastAsia" w:ascii="方正小标宋简体" w:hAnsi="宋体" w:eastAsia="方正小标宋简体"/>
          <w:color w:val="000000"/>
          <w:sz w:val="52"/>
          <w:szCs w:val="52"/>
          <w:lang w:val="en-US" w:eastAsia="zh-CN"/>
        </w:rPr>
        <w:t>人民法院</w:t>
      </w:r>
    </w:p>
    <w:p w14:paraId="53DE8121">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部门决算</w:t>
      </w:r>
      <w:bookmarkEnd w:id="6"/>
      <w:bookmarkEnd w:id="7"/>
      <w:bookmarkEnd w:id="8"/>
      <w:bookmarkEnd w:id="9"/>
      <w:bookmarkEnd w:id="10"/>
      <w:bookmarkEnd w:id="11"/>
      <w:r>
        <w:rPr>
          <w:rFonts w:hint="eastAsia" w:ascii="方正小标宋简体" w:hAnsi="宋体" w:eastAsia="方正小标宋简体"/>
          <w:color w:val="000000"/>
          <w:sz w:val="52"/>
          <w:szCs w:val="52"/>
        </w:rPr>
        <w:t>编制说明</w:t>
      </w:r>
    </w:p>
    <w:p w14:paraId="4B634D28">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050BA366">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7B79E9BA">
      <w:pPr>
        <w:pStyle w:val="10"/>
      </w:pPr>
      <w:r>
        <w:rPr>
          <w:rFonts w:hint="eastAsia"/>
        </w:rPr>
        <w:t>公开时间：2020年</w:t>
      </w:r>
      <w:r>
        <w:rPr>
          <w:rFonts w:hint="eastAsia"/>
          <w:lang w:val="en-US" w:eastAsia="zh-CN"/>
        </w:rPr>
        <w:t>10</w:t>
      </w:r>
      <w:r>
        <w:rPr>
          <w:rFonts w:hint="eastAsia"/>
        </w:rPr>
        <w:t>月</w:t>
      </w:r>
      <w:r>
        <w:rPr>
          <w:rFonts w:hint="eastAsia"/>
          <w:lang w:val="en-US" w:eastAsia="zh-CN"/>
        </w:rPr>
        <w:t>21</w:t>
      </w:r>
      <w:r>
        <w:rPr>
          <w:rFonts w:hint="eastAsia"/>
        </w:rPr>
        <w:t>日</w:t>
      </w:r>
    </w:p>
    <w:p w14:paraId="1D46E86A">
      <w:pPr>
        <w:pStyle w:val="10"/>
        <w:rPr>
          <w:rFonts w:cstheme="minorBidi"/>
        </w:rPr>
      </w:pPr>
      <w:r>
        <w:fldChar w:fldCharType="begin"/>
      </w:r>
      <w:r>
        <w:instrText xml:space="preserve"> HYPERLINK \l "_Toc15396599" </w:instrText>
      </w:r>
      <w:r>
        <w:fldChar w:fldCharType="separate"/>
      </w:r>
      <w:r>
        <w:rPr>
          <w:rStyle w:val="17"/>
          <w:rFonts w:hint="eastAsia"/>
        </w:rPr>
        <w:t>第一部分部门概况</w:t>
      </w:r>
      <w:r>
        <w:tab/>
      </w:r>
      <w:r>
        <w:rPr>
          <w:rFonts w:hint="eastAsia"/>
        </w:rPr>
        <w:t>4</w:t>
      </w:r>
      <w:r>
        <w:rPr>
          <w:rFonts w:hint="eastAsia"/>
        </w:rPr>
        <w:fldChar w:fldCharType="end"/>
      </w:r>
    </w:p>
    <w:p w14:paraId="400945C5">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7"/>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2E9B13A9">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7"/>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14:paraId="22E97F7B">
      <w:pPr>
        <w:pStyle w:val="10"/>
      </w:pPr>
      <w:r>
        <w:fldChar w:fldCharType="begin"/>
      </w:r>
      <w:r>
        <w:instrText xml:space="preserve"> HYPERLINK \l "_Toc15396602" </w:instrText>
      </w:r>
      <w:r>
        <w:fldChar w:fldCharType="separate"/>
      </w:r>
      <w:r>
        <w:rPr>
          <w:rStyle w:val="17"/>
          <w:rFonts w:hint="eastAsia"/>
        </w:rPr>
        <w:t>第二部分</w:t>
      </w:r>
      <w:r>
        <w:rPr>
          <w:rStyle w:val="17"/>
        </w:rPr>
        <w:t xml:space="preserve"> 201</w:t>
      </w:r>
      <w:r>
        <w:rPr>
          <w:rStyle w:val="17"/>
          <w:rFonts w:hint="eastAsia"/>
        </w:rPr>
        <w:t>9年度部门决算情况说明</w:t>
      </w:r>
      <w:r>
        <w:tab/>
      </w:r>
      <w:r>
        <w:fldChar w:fldCharType="begin"/>
      </w:r>
      <w:r>
        <w:instrText xml:space="preserve"> PAGEREF _Toc15396602 \h </w:instrText>
      </w:r>
      <w:r>
        <w:fldChar w:fldCharType="separate"/>
      </w:r>
      <w:r>
        <w:t>8</w:t>
      </w:r>
      <w:r>
        <w:fldChar w:fldCharType="end"/>
      </w:r>
      <w:r>
        <w:fldChar w:fldCharType="end"/>
      </w:r>
    </w:p>
    <w:p w14:paraId="04A074EE">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7"/>
          <w:rFonts w:hint="eastAsia" w:ascii="仿宋" w:hAnsi="仿宋" w:eastAsia="仿宋" w:cstheme="majorBidi"/>
          <w:bCs/>
          <w:sz w:val="28"/>
          <w:szCs w:val="28"/>
        </w:rPr>
        <w:t>一、</w:t>
      </w:r>
      <w:r>
        <w:rPr>
          <w:rStyle w:val="17"/>
          <w:rFonts w:hint="eastAsia" w:ascii="仿宋" w:hAnsi="仿宋" w:eastAsia="仿宋"/>
          <w:sz w:val="28"/>
          <w:szCs w:val="28"/>
        </w:rPr>
        <w:t>收</w:t>
      </w:r>
      <w:r>
        <w:rPr>
          <w:rStyle w:val="17"/>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1B4D3337">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7"/>
          <w:rFonts w:hint="eastAsia" w:ascii="仿宋" w:hAnsi="仿宋" w:eastAsia="仿宋" w:cstheme="majorBidi"/>
          <w:bCs/>
          <w:sz w:val="28"/>
          <w:szCs w:val="28"/>
        </w:rPr>
        <w:t>二、</w:t>
      </w:r>
      <w:r>
        <w:rPr>
          <w:rStyle w:val="17"/>
          <w:rFonts w:hint="eastAsia" w:ascii="仿宋" w:hAnsi="仿宋" w:eastAsia="仿宋"/>
          <w:sz w:val="28"/>
          <w:szCs w:val="28"/>
        </w:rPr>
        <w:t>收</w:t>
      </w:r>
      <w:r>
        <w:rPr>
          <w:rStyle w:val="17"/>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4FF86F48">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7"/>
          <w:rFonts w:hint="eastAsia" w:ascii="仿宋" w:hAnsi="仿宋" w:eastAsia="仿宋" w:cstheme="majorBidi"/>
          <w:bCs/>
          <w:sz w:val="28"/>
          <w:szCs w:val="28"/>
        </w:rPr>
        <w:t>三、</w:t>
      </w:r>
      <w:r>
        <w:rPr>
          <w:rStyle w:val="17"/>
          <w:rFonts w:hint="eastAsia" w:ascii="仿宋" w:hAnsi="仿宋" w:eastAsia="仿宋"/>
          <w:sz w:val="28"/>
          <w:szCs w:val="28"/>
        </w:rPr>
        <w:t>支</w:t>
      </w:r>
      <w:r>
        <w:rPr>
          <w:rStyle w:val="17"/>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14:paraId="567EF7B6">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7"/>
          <w:rFonts w:hint="eastAsia" w:ascii="仿宋" w:hAnsi="仿宋" w:eastAsia="仿宋"/>
          <w:sz w:val="28"/>
          <w:szCs w:val="28"/>
        </w:rPr>
        <w:t>四、财</w:t>
      </w:r>
      <w:r>
        <w:rPr>
          <w:rStyle w:val="17"/>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7A4F02A3">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7"/>
          <w:rFonts w:hint="eastAsia" w:ascii="仿宋" w:hAnsi="仿宋" w:eastAsia="仿宋"/>
          <w:sz w:val="28"/>
          <w:szCs w:val="28"/>
        </w:rPr>
        <w:t>五、一</w:t>
      </w:r>
      <w:r>
        <w:rPr>
          <w:rStyle w:val="17"/>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16C6F3D0">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7"/>
          <w:rFonts w:hint="eastAsia" w:ascii="仿宋" w:hAnsi="仿宋" w:eastAsia="仿宋"/>
          <w:sz w:val="28"/>
          <w:szCs w:val="28"/>
        </w:rPr>
        <w:t>六、一</w:t>
      </w:r>
      <w:r>
        <w:rPr>
          <w:rStyle w:val="17"/>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155D35BB">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7"/>
          <w:rFonts w:hint="eastAsia" w:ascii="仿宋" w:hAnsi="仿宋" w:eastAsia="仿宋"/>
          <w:sz w:val="28"/>
          <w:szCs w:val="28"/>
        </w:rPr>
        <w:t>七、</w:t>
      </w:r>
      <w:r>
        <w:rPr>
          <w:rStyle w:val="17"/>
          <w:rFonts w:ascii="仿宋" w:hAnsi="仿宋" w:eastAsia="仿宋"/>
          <w:sz w:val="28"/>
          <w:szCs w:val="28"/>
        </w:rPr>
        <w:t>“</w:t>
      </w:r>
      <w:r>
        <w:rPr>
          <w:rStyle w:val="17"/>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6CC882BC">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7"/>
          <w:rFonts w:hint="eastAsia" w:ascii="仿宋" w:hAnsi="仿宋" w:eastAsia="仿宋"/>
          <w:sz w:val="28"/>
          <w:szCs w:val="28"/>
        </w:rPr>
        <w:t>八、</w:t>
      </w:r>
      <w:r>
        <w:rPr>
          <w:rStyle w:val="17"/>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6D55E79E">
      <w:pPr>
        <w:pStyle w:val="11"/>
        <w:rPr>
          <w:rFonts w:ascii="仿宋" w:hAnsi="仿宋" w:eastAsia="仿宋"/>
          <w:sz w:val="28"/>
          <w:szCs w:val="28"/>
        </w:rPr>
      </w:pPr>
      <w:r>
        <w:fldChar w:fldCharType="begin"/>
      </w:r>
      <w:r>
        <w:instrText xml:space="preserve"> HYPERLINK \l "_Toc15396611" </w:instrText>
      </w:r>
      <w:r>
        <w:fldChar w:fldCharType="separate"/>
      </w:r>
      <w:r>
        <w:rPr>
          <w:rStyle w:val="17"/>
          <w:rFonts w:hint="eastAsia" w:ascii="仿宋" w:hAnsi="仿宋" w:eastAsia="仿宋" w:cstheme="majorBidi"/>
          <w:bCs/>
          <w:sz w:val="28"/>
          <w:szCs w:val="28"/>
        </w:rPr>
        <w:t>九、</w:t>
      </w:r>
      <w:r>
        <w:rPr>
          <w:rStyle w:val="17"/>
          <w:rFonts w:hint="eastAsia" w:ascii="仿宋" w:hAnsi="仿宋" w:eastAsia="仿宋"/>
          <w:sz w:val="28"/>
          <w:szCs w:val="28"/>
        </w:rPr>
        <w:t xml:space="preserve"> 国</w:t>
      </w:r>
      <w:r>
        <w:rPr>
          <w:rStyle w:val="17"/>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14:paraId="6E3BD7A5">
      <w:pPr>
        <w:rPr>
          <w:rStyle w:val="17"/>
          <w:rFonts w:ascii="仿宋" w:hAnsi="仿宋" w:eastAsia="仿宋" w:cstheme="majorBidi"/>
          <w:bCs/>
          <w:sz w:val="28"/>
          <w:szCs w:val="28"/>
        </w:rPr>
      </w:pPr>
      <w:r>
        <w:rPr>
          <w:rFonts w:hint="eastAsia" w:ascii="仿宋" w:hAnsi="仿宋" w:eastAsia="仿宋"/>
          <w:sz w:val="28"/>
          <w:szCs w:val="28"/>
        </w:rPr>
        <w:t xml:space="preserve">   十、</w:t>
      </w:r>
      <w:r>
        <w:rPr>
          <w:rStyle w:val="17"/>
          <w:rFonts w:hint="eastAsia" w:ascii="仿宋" w:hAnsi="仿宋" w:eastAsia="仿宋" w:cstheme="majorBidi"/>
          <w:bCs/>
          <w:sz w:val="28"/>
          <w:szCs w:val="28"/>
        </w:rPr>
        <w:t>预算绩效情况说明</w:t>
      </w:r>
      <w:r>
        <w:rPr>
          <w:rStyle w:val="17"/>
          <w:rFonts w:ascii="Arial" w:hAnsi="Arial" w:eastAsia="仿宋" w:cs="Arial"/>
          <w:bCs/>
          <w:sz w:val="28"/>
          <w:szCs w:val="28"/>
        </w:rPr>
        <w:t>……………………………………………</w:t>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p>
    <w:p w14:paraId="753E4969">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7"/>
          <w:rFonts w:hint="eastAsia" w:ascii="仿宋" w:hAnsi="仿宋" w:eastAsia="仿宋"/>
          <w:sz w:val="28"/>
          <w:szCs w:val="28"/>
        </w:rPr>
        <w:t>十</w:t>
      </w:r>
      <w:r>
        <w:rPr>
          <w:rStyle w:val="17"/>
          <w:rFonts w:hint="eastAsia" w:ascii="仿宋" w:hAnsi="仿宋" w:eastAsia="仿宋" w:cstheme="majorBidi"/>
          <w:bCs/>
          <w:sz w:val="28"/>
          <w:szCs w:val="28"/>
        </w:rPr>
        <w:t>一、其他重要事项的情况说明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5</w:t>
      </w:r>
    </w:p>
    <w:p w14:paraId="27852ECC">
      <w:pPr>
        <w:pStyle w:val="10"/>
        <w:rPr>
          <w:rFonts w:cstheme="minorBidi"/>
        </w:rPr>
      </w:pPr>
      <w:r>
        <w:fldChar w:fldCharType="begin"/>
      </w:r>
      <w:r>
        <w:instrText xml:space="preserve"> HYPERLINK \l "_Toc15396613" </w:instrText>
      </w:r>
      <w:r>
        <w:fldChar w:fldCharType="separate"/>
      </w:r>
      <w:r>
        <w:rPr>
          <w:rStyle w:val="17"/>
          <w:rFonts w:hint="eastAsia"/>
          <w:bCs/>
          <w:kern w:val="44"/>
        </w:rPr>
        <w:t>第三部分</w:t>
      </w:r>
      <w:r>
        <w:rPr>
          <w:rStyle w:val="17"/>
          <w:rFonts w:hint="eastAsia"/>
        </w:rPr>
        <w:t xml:space="preserve"> 名</w:t>
      </w:r>
      <w:r>
        <w:rPr>
          <w:rStyle w:val="17"/>
          <w:rFonts w:hint="eastAsia"/>
          <w:bCs/>
          <w:kern w:val="44"/>
        </w:rPr>
        <w:t>词解释</w:t>
      </w:r>
      <w:r>
        <w:tab/>
      </w:r>
      <w:r>
        <w:fldChar w:fldCharType="begin"/>
      </w:r>
      <w:r>
        <w:instrText xml:space="preserve"> PAGEREF _Toc15396613 \h </w:instrText>
      </w:r>
      <w:r>
        <w:fldChar w:fldCharType="separate"/>
      </w:r>
      <w:r>
        <w:t>18</w:t>
      </w:r>
      <w:r>
        <w:fldChar w:fldCharType="end"/>
      </w:r>
      <w:r>
        <w:fldChar w:fldCharType="end"/>
      </w:r>
    </w:p>
    <w:p w14:paraId="0B26C879">
      <w:pPr>
        <w:pStyle w:val="10"/>
        <w:rPr>
          <w:rFonts w:cstheme="minorBidi"/>
        </w:rPr>
      </w:pPr>
      <w:r>
        <w:fldChar w:fldCharType="begin"/>
      </w:r>
      <w:r>
        <w:instrText xml:space="preserve"> HYPERLINK \l "_Toc15396614" </w:instrText>
      </w:r>
      <w:r>
        <w:fldChar w:fldCharType="separate"/>
      </w:r>
      <w:r>
        <w:rPr>
          <w:rStyle w:val="17"/>
          <w:rFonts w:hint="eastAsia"/>
        </w:rPr>
        <w:t>第</w:t>
      </w:r>
      <w:r>
        <w:rPr>
          <w:rStyle w:val="17"/>
          <w:rFonts w:hint="eastAsia"/>
          <w:bCs/>
          <w:kern w:val="44"/>
        </w:rPr>
        <w:t>四部分附件</w:t>
      </w:r>
      <w:r>
        <w:tab/>
      </w:r>
      <w:r>
        <w:fldChar w:fldCharType="begin"/>
      </w:r>
      <w:r>
        <w:instrText xml:space="preserve"> PAGEREF _Toc15396614 \h </w:instrText>
      </w:r>
      <w:r>
        <w:fldChar w:fldCharType="separate"/>
      </w:r>
      <w:r>
        <w:t>21</w:t>
      </w:r>
      <w:r>
        <w:fldChar w:fldCharType="end"/>
      </w:r>
      <w:r>
        <w:fldChar w:fldCharType="end"/>
      </w:r>
    </w:p>
    <w:p w14:paraId="326F876C">
      <w:pPr>
        <w:pStyle w:val="10"/>
        <w:rPr>
          <w:rFonts w:cstheme="minorBidi"/>
        </w:rPr>
      </w:pPr>
      <w:r>
        <w:fldChar w:fldCharType="begin"/>
      </w:r>
      <w:r>
        <w:instrText xml:space="preserve"> HYPERLINK \l "_Toc15396618" </w:instrText>
      </w:r>
      <w:r>
        <w:fldChar w:fldCharType="separate"/>
      </w:r>
      <w:r>
        <w:rPr>
          <w:rStyle w:val="17"/>
          <w:rFonts w:hint="eastAsia"/>
        </w:rPr>
        <w:t>第</w:t>
      </w:r>
      <w:r>
        <w:rPr>
          <w:rStyle w:val="17"/>
          <w:rFonts w:hint="eastAsia"/>
          <w:bCs/>
          <w:kern w:val="44"/>
        </w:rPr>
        <w:t>五部分附表</w:t>
      </w:r>
      <w:r>
        <w:tab/>
      </w:r>
      <w:r>
        <w:fldChar w:fldCharType="begin"/>
      </w:r>
      <w:r>
        <w:instrText xml:space="preserve"> PAGEREF _Toc15396618 \h </w:instrText>
      </w:r>
      <w:r>
        <w:fldChar w:fldCharType="separate"/>
      </w:r>
      <w:r>
        <w:t>26</w:t>
      </w:r>
      <w:r>
        <w:fldChar w:fldCharType="end"/>
      </w:r>
      <w:r>
        <w:fldChar w:fldCharType="end"/>
      </w:r>
    </w:p>
    <w:p w14:paraId="5CC65C57">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7"/>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4547329E">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7"/>
          <w:rFonts w:hint="eastAsia" w:ascii="仿宋" w:hAnsi="仿宋" w:eastAsia="仿宋"/>
          <w:sz w:val="28"/>
          <w:szCs w:val="28"/>
        </w:rPr>
        <w:t>收入决算表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686F976A">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7"/>
          <w:rFonts w:hint="eastAsia" w:ascii="仿宋" w:hAnsi="仿宋" w:eastAsia="仿宋"/>
          <w:sz w:val="28"/>
          <w:szCs w:val="28"/>
        </w:rPr>
        <w:t>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063273A8">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7"/>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00BFA424">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272FC82E">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7"/>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17DF2848">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7"/>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0DF3676A">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7"/>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7B39EC55">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7"/>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207C9806">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7"/>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182C93D7">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7"/>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14E8BA3D">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7"/>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368F0B73">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7"/>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75E023CD">
      <w:pPr>
        <w:widowControl/>
        <w:jc w:val="left"/>
        <w:rPr>
          <w:rFonts w:ascii="仿宋" w:hAnsi="仿宋" w:eastAsia="仿宋"/>
          <w:color w:val="000000"/>
          <w:sz w:val="24"/>
        </w:rPr>
      </w:pPr>
      <w:r>
        <w:rPr>
          <w:rFonts w:ascii="仿宋" w:hAnsi="仿宋" w:eastAsia="仿宋"/>
          <w:color w:val="000000"/>
          <w:sz w:val="24"/>
        </w:rPr>
        <w:fldChar w:fldCharType="end"/>
      </w:r>
    </w:p>
    <w:p w14:paraId="14377A2C">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14:paraId="16F2DED0">
      <w:pPr>
        <w:pStyle w:val="3"/>
        <w:jc w:val="center"/>
        <w:rPr>
          <w:rFonts w:ascii="黑体" w:eastAsia="黑体"/>
          <w:color w:val="000000"/>
          <w:sz w:val="32"/>
          <w:szCs w:val="32"/>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14:paraId="3CDDE61F">
      <w:pPr>
        <w:pStyle w:val="4"/>
        <w:pageBreakBefore w:val="0"/>
        <w:widowControl w:val="0"/>
        <w:kinsoku/>
        <w:wordWrap/>
        <w:overflowPunct/>
        <w:topLinePunct w:val="0"/>
        <w:autoSpaceDE/>
        <w:autoSpaceDN/>
        <w:bidi w:val="0"/>
        <w:adjustRightInd/>
        <w:snapToGrid/>
        <w:spacing w:line="600" w:lineRule="exact"/>
        <w:textAlignment w:val="auto"/>
        <w:rPr>
          <w:rStyle w:val="27"/>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14:paraId="45E72AFA">
      <w:pPr>
        <w:pStyle w:val="6"/>
        <w:pageBreakBefore w:val="0"/>
        <w:widowControl w:val="0"/>
        <w:kinsoku/>
        <w:wordWrap/>
        <w:overflowPunct/>
        <w:topLinePunct w:val="0"/>
        <w:autoSpaceDE/>
        <w:autoSpaceDN/>
        <w:bidi w:val="0"/>
        <w:adjustRightInd w:val="0"/>
        <w:snapToGrid w:val="0"/>
        <w:spacing w:before="93" w:line="600" w:lineRule="exact"/>
        <w:ind w:firstLine="672" w:firstLineChars="210"/>
        <w:textAlignment w:val="auto"/>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14:paraId="42AC0D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
          <w:sz w:val="32"/>
        </w:rPr>
      </w:pPr>
      <w:r>
        <w:rPr>
          <w:rFonts w:hint="eastAsia" w:eastAsia="仿宋"/>
          <w:sz w:val="32"/>
        </w:rPr>
        <w:t>广安市前锋区人民法院是国家审判机关，指导本院各人民法庭的审判工作，对广安市前锋区人民代表大会及其常务委员会负责并报告工作。</w:t>
      </w:r>
    </w:p>
    <w:p w14:paraId="358D50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
          <w:sz w:val="32"/>
        </w:rPr>
      </w:pPr>
      <w:r>
        <w:rPr>
          <w:rFonts w:hint="eastAsia" w:eastAsia="仿宋"/>
          <w:sz w:val="32"/>
        </w:rPr>
        <w:t>主要职责：</w:t>
      </w:r>
    </w:p>
    <w:p w14:paraId="4F96ED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
          <w:sz w:val="32"/>
        </w:rPr>
      </w:pPr>
      <w:r>
        <w:rPr>
          <w:rFonts w:hint="eastAsia" w:eastAsia="仿宋"/>
          <w:sz w:val="32"/>
          <w:lang w:val="en-US" w:eastAsia="zh-CN"/>
        </w:rPr>
        <w:t>1.</w:t>
      </w:r>
      <w:r>
        <w:rPr>
          <w:rFonts w:hint="eastAsia" w:eastAsia="仿宋"/>
          <w:sz w:val="32"/>
        </w:rPr>
        <w:t>依法审判管辖内的刑事、民事、行政等第一审案件；</w:t>
      </w:r>
    </w:p>
    <w:p w14:paraId="4B8404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
          <w:sz w:val="32"/>
        </w:rPr>
      </w:pPr>
      <w:r>
        <w:rPr>
          <w:rFonts w:hint="eastAsia" w:eastAsia="仿宋"/>
          <w:sz w:val="32"/>
          <w:lang w:val="en-US" w:eastAsia="zh-CN"/>
        </w:rPr>
        <w:t>2.</w:t>
      </w:r>
      <w:r>
        <w:rPr>
          <w:rFonts w:hint="eastAsia" w:eastAsia="仿宋"/>
          <w:sz w:val="32"/>
        </w:rPr>
        <w:t>依法审理广安市中级人民法院指令再审的案件；</w:t>
      </w:r>
    </w:p>
    <w:p w14:paraId="38F77E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
          <w:sz w:val="32"/>
        </w:rPr>
      </w:pPr>
      <w:r>
        <w:rPr>
          <w:rFonts w:hint="eastAsia" w:eastAsia="仿宋"/>
          <w:sz w:val="32"/>
          <w:lang w:val="en-US" w:eastAsia="zh-CN"/>
        </w:rPr>
        <w:t>3.</w:t>
      </w:r>
      <w:r>
        <w:rPr>
          <w:rFonts w:hint="eastAsia" w:eastAsia="仿宋"/>
          <w:sz w:val="32"/>
        </w:rPr>
        <w:t>依法行使司法执行权和司法决定权；</w:t>
      </w:r>
    </w:p>
    <w:p w14:paraId="00500F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
          <w:sz w:val="32"/>
        </w:rPr>
      </w:pPr>
      <w:r>
        <w:rPr>
          <w:rFonts w:hint="eastAsia" w:eastAsia="仿宋"/>
          <w:sz w:val="32"/>
          <w:lang w:val="en-US" w:eastAsia="zh-CN"/>
        </w:rPr>
        <w:t>4.</w:t>
      </w:r>
      <w:r>
        <w:rPr>
          <w:rFonts w:hint="eastAsia" w:eastAsia="仿宋"/>
          <w:sz w:val="32"/>
        </w:rPr>
        <w:t>依法审理本院判决、裁定发生法律效力的提起再审的案件；</w:t>
      </w:r>
    </w:p>
    <w:p w14:paraId="5AE90D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
          <w:sz w:val="32"/>
        </w:rPr>
      </w:pPr>
      <w:r>
        <w:rPr>
          <w:rFonts w:hint="eastAsia" w:eastAsia="仿宋"/>
          <w:sz w:val="32"/>
          <w:lang w:val="en-US" w:eastAsia="zh-CN"/>
        </w:rPr>
        <w:t>5.</w:t>
      </w:r>
      <w:r>
        <w:rPr>
          <w:rFonts w:hint="eastAsia" w:eastAsia="仿宋"/>
          <w:sz w:val="32"/>
        </w:rPr>
        <w:t>指导本院各人民法庭的审判工作；</w:t>
      </w:r>
    </w:p>
    <w:p w14:paraId="09B2CC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
          <w:sz w:val="32"/>
        </w:rPr>
      </w:pPr>
      <w:r>
        <w:rPr>
          <w:rFonts w:hint="eastAsia" w:eastAsia="仿宋"/>
          <w:sz w:val="32"/>
          <w:lang w:val="en-US" w:eastAsia="zh-CN"/>
        </w:rPr>
        <w:t>6.</w:t>
      </w:r>
      <w:r>
        <w:rPr>
          <w:rFonts w:hint="eastAsia" w:eastAsia="仿宋"/>
          <w:sz w:val="32"/>
        </w:rPr>
        <w:t>负责人民法院思想政治工作、纪检监察工作和队伍管理、培训、教育工作；按照权限管理法官、执行员、书记员和司法警察；</w:t>
      </w:r>
    </w:p>
    <w:p w14:paraId="2ED518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
          <w:sz w:val="32"/>
        </w:rPr>
      </w:pPr>
      <w:r>
        <w:rPr>
          <w:rFonts w:hint="eastAsia" w:eastAsia="仿宋"/>
          <w:sz w:val="32"/>
          <w:lang w:val="en-US" w:eastAsia="zh-CN"/>
        </w:rPr>
        <w:t>7.</w:t>
      </w:r>
      <w:r>
        <w:rPr>
          <w:rFonts w:hint="eastAsia" w:eastAsia="仿宋"/>
          <w:sz w:val="32"/>
        </w:rPr>
        <w:t>针对案件审理中发现的问题提出司法建议；</w:t>
      </w:r>
    </w:p>
    <w:p w14:paraId="74C524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
          <w:sz w:val="32"/>
        </w:rPr>
      </w:pPr>
      <w:r>
        <w:rPr>
          <w:rFonts w:hint="eastAsia" w:eastAsia="仿宋"/>
          <w:sz w:val="32"/>
          <w:lang w:val="en-US" w:eastAsia="zh-CN"/>
        </w:rPr>
        <w:t>8.</w:t>
      </w:r>
      <w:r>
        <w:rPr>
          <w:rFonts w:hint="eastAsia" w:eastAsia="仿宋"/>
          <w:sz w:val="32"/>
        </w:rPr>
        <w:t>开展法制宣讲和巡回审判工作，教育公民自觉遵守宪法、法律和社会道德；</w:t>
      </w:r>
    </w:p>
    <w:p w14:paraId="25E5AF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
          <w:sz w:val="32"/>
        </w:rPr>
      </w:pPr>
      <w:r>
        <w:rPr>
          <w:rFonts w:hint="eastAsia" w:eastAsia="仿宋"/>
          <w:sz w:val="32"/>
          <w:lang w:val="en-US" w:eastAsia="zh-CN"/>
        </w:rPr>
        <w:t>9.</w:t>
      </w:r>
      <w:r>
        <w:rPr>
          <w:rFonts w:hint="eastAsia" w:eastAsia="仿宋"/>
          <w:sz w:val="32"/>
        </w:rPr>
        <w:t>做好大调解工作，并指导基层人民调解委员会工作；</w:t>
      </w:r>
    </w:p>
    <w:p w14:paraId="775D1B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left"/>
        <w:textAlignment w:val="auto"/>
        <w:rPr>
          <w:rFonts w:hint="eastAsia" w:ascii="仿宋" w:hAnsi="仿宋" w:eastAsia="仿宋"/>
          <w:bCs/>
          <w:color w:val="000000"/>
          <w:sz w:val="32"/>
          <w:szCs w:val="32"/>
        </w:rPr>
      </w:pPr>
      <w:r>
        <w:rPr>
          <w:rFonts w:hint="eastAsia" w:eastAsia="仿宋"/>
          <w:kern w:val="2"/>
          <w:sz w:val="32"/>
          <w:szCs w:val="22"/>
          <w:lang w:val="en-US" w:eastAsia="zh-CN" w:bidi="ar-SA"/>
        </w:rPr>
        <w:t>10.承办其他应由基层人民法院负责的工作。</w:t>
      </w:r>
    </w:p>
    <w:p w14:paraId="1350AA58">
      <w:pPr>
        <w:pStyle w:val="6"/>
        <w:pageBreakBefore w:val="0"/>
        <w:widowControl w:val="0"/>
        <w:kinsoku/>
        <w:wordWrap/>
        <w:overflowPunct/>
        <w:topLinePunct w:val="0"/>
        <w:autoSpaceDE/>
        <w:autoSpaceDN/>
        <w:bidi w:val="0"/>
        <w:adjustRightInd w:val="0"/>
        <w:snapToGrid w:val="0"/>
        <w:spacing w:before="93" w:line="600" w:lineRule="exact"/>
        <w:ind w:firstLine="672" w:firstLineChars="210"/>
        <w:textAlignment w:val="auto"/>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14:paraId="62F57CAF">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宋体" w:hAnsi="宋体" w:eastAsia="仿宋" w:cs="宋体"/>
          <w:kern w:val="0"/>
          <w:sz w:val="32"/>
          <w:szCs w:val="24"/>
          <w:lang w:val="en-US" w:eastAsia="zh-CN" w:bidi="ar-SA"/>
        </w:rPr>
      </w:pPr>
      <w:r>
        <w:rPr>
          <w:rFonts w:hint="eastAsia" w:ascii="宋体" w:hAnsi="宋体" w:eastAsia="仿宋" w:cs="宋体"/>
          <w:kern w:val="0"/>
          <w:sz w:val="32"/>
          <w:szCs w:val="24"/>
          <w:lang w:val="en-US" w:eastAsia="zh-CN" w:bidi="ar-SA"/>
        </w:rPr>
        <w:t>全面贯彻党的十九大及十九届历次全会精神、省委十一届四次全会、市委五届七次全会和区委二届六次全会精神，按照区委“12355”工作思路，紧紧围绕“努力让人民群众在每一个司法案件中感受到公平正义”的总目标，坚持司法为民公正司法，充分发挥审判职能作用，保障前锋高质量发展，跻身全省法院第一方阵，以优异成绩庆祝中华人民共和国成立70周年！</w:t>
      </w:r>
    </w:p>
    <w:p w14:paraId="5EDC1704">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宋体" w:hAnsi="宋体" w:eastAsia="仿宋" w:cs="宋体"/>
          <w:kern w:val="0"/>
          <w:sz w:val="32"/>
          <w:szCs w:val="24"/>
          <w:lang w:val="en-US" w:eastAsia="zh-CN" w:bidi="ar-SA"/>
        </w:rPr>
      </w:pPr>
      <w:r>
        <w:rPr>
          <w:rFonts w:hint="eastAsia" w:ascii="宋体" w:hAnsi="宋体" w:eastAsia="仿宋" w:cs="宋体"/>
          <w:kern w:val="0"/>
          <w:sz w:val="32"/>
          <w:szCs w:val="24"/>
          <w:lang w:val="en-US" w:eastAsia="zh-CN" w:bidi="ar-SA"/>
        </w:rPr>
        <w:t>一是围绕中心大局，进一步保障高质量发展。助力“产城一体”发展战略，依法平等保障各类市场主体合法权益，加大以党政机关为被告的涉民营企业案件执行力度，保障民营企业债权及时实现。强化司法对接，保障《前锋区支持民营经济健康发展的实施意见》落地落实。进一步发挥法官专业会议、审委会对类案宏观指导作用，加快审结一批企业破产案件，为依法化解过剩产能、服务产业结构调整提供法律支持。积极参与区委政府对时代天街、恒顺星城等遗留问题的化解，提供法律支撑。加强对农村土地承包经营、涉扶贫领域案件的审理，帮助已脱贫户和临界贫困户持续稳定脱贫。结合区委实施“生态创优工程”的战略部署，加强环境污染、资源浪费、生态破坏等违法犯罪案件审理。积极参与社会治理，为庆祝中华人民共和国成立70周年营造平安稳定的社会环境。</w:t>
      </w:r>
    </w:p>
    <w:p w14:paraId="359EC905">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宋体" w:hAnsi="宋体" w:eastAsia="仿宋" w:cs="宋体"/>
          <w:kern w:val="0"/>
          <w:sz w:val="32"/>
          <w:szCs w:val="24"/>
          <w:lang w:val="en-US" w:eastAsia="zh-CN" w:bidi="ar-SA"/>
        </w:rPr>
      </w:pPr>
      <w:r>
        <w:rPr>
          <w:rFonts w:hint="eastAsia" w:ascii="宋体" w:hAnsi="宋体" w:eastAsia="仿宋" w:cs="宋体"/>
          <w:kern w:val="0"/>
          <w:sz w:val="32"/>
          <w:szCs w:val="24"/>
          <w:lang w:val="en-US" w:eastAsia="zh-CN" w:bidi="ar-SA"/>
        </w:rPr>
        <w:t>二是聚焦能力提升，进一步提升司法公信力。加强对新修订《刑事诉讼法》学习研究，不断提升刑事庭审实质化水平，保障实体公正、程序公正。加强对民商事案件类型案件指导，进一步统一商品房买卖违约金、交通事故赔偿责任、建设工程劳动争议等案件的裁判尺度。积极探索行政非诉执行案件裁执分离模式，加强司法审查与行政强制执行合力，助推行政执法工作高效运行。加强对新类型案件审理裁判思路的总结推广，进一步提升庭审质量和裁判文书写作质量。总结探索应用远程视频系统在线审理离婚案件的成功经验，推广全面覆盖家事案件审理，减轻当事人诉累。制定出台《法院文化建设实施方案》，让智慧才情在法院文化阵地上开花结果。</w:t>
      </w:r>
    </w:p>
    <w:p w14:paraId="3DB2084A">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宋体" w:hAnsi="宋体" w:eastAsia="仿宋" w:cs="宋体"/>
          <w:kern w:val="0"/>
          <w:sz w:val="32"/>
          <w:szCs w:val="24"/>
          <w:lang w:val="en-US" w:eastAsia="zh-CN" w:bidi="ar-SA"/>
        </w:rPr>
      </w:pPr>
      <w:r>
        <w:rPr>
          <w:rFonts w:hint="eastAsia" w:ascii="宋体" w:hAnsi="宋体" w:eastAsia="仿宋" w:cs="宋体"/>
          <w:kern w:val="0"/>
          <w:sz w:val="32"/>
          <w:szCs w:val="24"/>
          <w:lang w:val="en-US" w:eastAsia="zh-CN" w:bidi="ar-SA"/>
        </w:rPr>
        <w:t>三是关注民生实事，进一步增进群众获得感。把扫黑除恶工作向纵深推进，从严从快审理涉黑恶势力犯罪，深入摸排黑恶势力背后“关系网”“保护伞”线索，及时移交纪检监察机关。对行政案件集中管辖“广安经验”实现再深化、再探索，计划与各区、市、县政府主动衔接并联合出台意见，将行政机关负责人出庭应诉纳入法治化轨道。挖潜诉源治理，全面分析2018年全市行政案件分布情况，到涉案较多的行政机关开展座谈会、讲好法治课，进一步提升依法行政意识。加强诉讼服务窗口建设，开展“最多跑一次”改革，实现电子档案窗口查询功能，为当事人、律师提供便利。</w:t>
      </w:r>
    </w:p>
    <w:p w14:paraId="28CF994E">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bCs/>
          <w:color w:val="000000"/>
          <w:sz w:val="32"/>
          <w:szCs w:val="32"/>
        </w:rPr>
      </w:pPr>
      <w:r>
        <w:rPr>
          <w:rFonts w:hint="eastAsia" w:ascii="宋体" w:hAnsi="宋体" w:eastAsia="仿宋" w:cs="宋体"/>
          <w:kern w:val="0"/>
          <w:sz w:val="32"/>
          <w:szCs w:val="24"/>
          <w:lang w:val="en-US" w:eastAsia="zh-CN" w:bidi="ar-SA"/>
        </w:rPr>
        <w:t>四是深化改革创新，进一步激活内生动力。逐步完善案件繁简分流分案机制，细化案件认定标准，实现简案快审、难案精审。探索设立律师调解工作室，发挥好律师参与诉源治理和化解涉诉信访案件的积极作用。探索建立对第三方评估、鉴定、拍卖机构的考核退出机制。加快推进智慧法院建设，提升司法能力现代化水平。进一步提升网上立案率，提高诉讼效率。全面推开电子送达，提高文书送达效率。加大司法公开力度，全面开通行政审判中心庭审直播功能，提升行政集中管辖透明度。加强执行监督，计划邀请代表委员亲临法院执行指挥中心现场观摩执行工作不少于3次。</w:t>
      </w:r>
    </w:p>
    <w:p w14:paraId="18B84A9F">
      <w:pPr>
        <w:pStyle w:val="4"/>
        <w:keepNext/>
        <w:keepLines/>
        <w:pageBreakBefore w:val="0"/>
        <w:widowControl w:val="0"/>
        <w:kinsoku/>
        <w:wordWrap/>
        <w:overflowPunct/>
        <w:topLinePunct w:val="0"/>
        <w:autoSpaceDE/>
        <w:autoSpaceDN/>
        <w:bidi w:val="0"/>
        <w:adjustRightInd/>
        <w:snapToGrid/>
        <w:spacing w:line="600" w:lineRule="exact"/>
        <w:textAlignment w:val="auto"/>
        <w:rPr>
          <w:rStyle w:val="27"/>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0"/>
      <w:bookmarkEnd w:id="21"/>
    </w:p>
    <w:p w14:paraId="2762CD6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olor w:val="000000"/>
          <w:kern w:val="0"/>
          <w:sz w:val="32"/>
          <w:szCs w:val="32"/>
        </w:rPr>
      </w:pPr>
      <w:r>
        <w:rPr>
          <w:rFonts w:hint="eastAsia" w:ascii="宋体" w:hAnsi="宋体" w:eastAsia="仿宋" w:cs="宋体"/>
          <w:kern w:val="0"/>
          <w:sz w:val="32"/>
          <w:szCs w:val="24"/>
          <w:lang w:val="en-US" w:eastAsia="zh-CN" w:bidi="ar-SA"/>
        </w:rPr>
        <w:t>广安市前锋区人民法院属行政机关，无二级预算单位，内设9个机构，派出法庭4个。现有编制68人，其中行政编制63人，工勤编制5人。实有人数66人，其中行政编制62人，工勤编制4人。</w:t>
      </w:r>
      <w:r>
        <w:rPr>
          <w:rFonts w:ascii="仿宋" w:hAnsi="仿宋" w:eastAsia="仿宋"/>
          <w:color w:val="000000"/>
          <w:sz w:val="32"/>
          <w:szCs w:val="32"/>
        </w:rPr>
        <w:br w:type="page"/>
      </w:r>
    </w:p>
    <w:p w14:paraId="1EF3C58C">
      <w:pPr>
        <w:pStyle w:val="3"/>
        <w:ind w:right="440"/>
        <w:jc w:val="right"/>
      </w:pPr>
      <w:bookmarkStart w:id="22" w:name="_Toc15396602"/>
      <w:bookmarkStart w:id="23" w:name="_Toc15377204"/>
      <w:r>
        <w:rPr>
          <w:rFonts w:hint="eastAsia" w:ascii="黑体" w:hAnsi="黑体" w:eastAsia="黑体"/>
          <w:b w:val="0"/>
          <w:color w:val="000000"/>
        </w:rPr>
        <w:t>第二部分</w:t>
      </w:r>
      <w:r>
        <w:rPr>
          <w:rStyle w:val="26"/>
          <w:rFonts w:hint="eastAsia" w:ascii="黑体" w:hAnsi="黑体" w:eastAsia="黑体"/>
          <w:b w:val="0"/>
          <w:bCs w:val="0"/>
        </w:rPr>
        <w:t>2019年度部门决算情况说明</w:t>
      </w:r>
      <w:bookmarkEnd w:id="22"/>
      <w:bookmarkEnd w:id="23"/>
    </w:p>
    <w:p w14:paraId="17965F5D">
      <w:pPr>
        <w:pStyle w:val="25"/>
        <w:numPr>
          <w:ilvl w:val="0"/>
          <w:numId w:val="1"/>
        </w:numPr>
        <w:spacing w:line="600" w:lineRule="exact"/>
        <w:ind w:firstLineChars="0"/>
        <w:outlineLvl w:val="1"/>
        <w:rPr>
          <w:rStyle w:val="27"/>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14:paraId="6E70D075">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1892.56万元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1853.93</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年相比，收、支总计各</w:t>
      </w:r>
      <w:r>
        <w:rPr>
          <w:rFonts w:hint="eastAsia" w:ascii="仿宋" w:hAnsi="仿宋" w:eastAsia="仿宋"/>
          <w:color w:val="000000"/>
          <w:sz w:val="32"/>
          <w:szCs w:val="32"/>
          <w:lang w:eastAsia="zh-CN"/>
        </w:rPr>
        <w:t>减少</w:t>
      </w:r>
      <w:r>
        <w:rPr>
          <w:rFonts w:hint="eastAsia" w:ascii="仿宋" w:hAnsi="仿宋" w:eastAsia="仿宋"/>
          <w:color w:val="000000"/>
          <w:sz w:val="32"/>
          <w:szCs w:val="32"/>
        </w:rPr>
        <w:t>4137.78</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230.75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分别下降</w:t>
      </w:r>
      <w:r>
        <w:rPr>
          <w:rFonts w:hint="eastAsia" w:ascii="仿宋" w:hAnsi="仿宋" w:eastAsia="仿宋"/>
          <w:color w:val="000000"/>
          <w:sz w:val="32"/>
          <w:szCs w:val="32"/>
          <w:lang w:val="en-US" w:eastAsia="zh-CN"/>
        </w:rPr>
        <w:t>68.62%</w:t>
      </w:r>
      <w:r>
        <w:rPr>
          <w:rFonts w:hint="eastAsia" w:ascii="仿宋" w:hAnsi="仿宋" w:eastAsia="仿宋"/>
          <w:color w:val="000000"/>
          <w:sz w:val="32"/>
          <w:szCs w:val="32"/>
          <w:lang w:eastAsia="zh-CN"/>
        </w:rPr>
        <w:t>、11.07%</w:t>
      </w:r>
      <w:r>
        <w:rPr>
          <w:rFonts w:hint="eastAsia" w:ascii="仿宋" w:hAnsi="仿宋" w:eastAsia="仿宋"/>
          <w:color w:val="000000"/>
          <w:sz w:val="32"/>
          <w:szCs w:val="32"/>
        </w:rPr>
        <w:t>。</w:t>
      </w:r>
      <w:r>
        <w:rPr>
          <w:rFonts w:hint="eastAsia" w:ascii="仿宋" w:hAnsi="仿宋" w:eastAsia="仿宋"/>
          <w:color w:val="000000" w:themeColor="text1"/>
          <w:sz w:val="32"/>
          <w:szCs w:val="32"/>
        </w:rPr>
        <w:t>主要变动原因是</w:t>
      </w:r>
      <w:r>
        <w:rPr>
          <w:rFonts w:hint="eastAsia" w:ascii="仿宋" w:hAnsi="仿宋" w:eastAsia="仿宋"/>
          <w:color w:val="000000" w:themeColor="text1"/>
          <w:sz w:val="32"/>
          <w:szCs w:val="32"/>
          <w:lang w:val="en-US" w:eastAsia="zh-CN"/>
        </w:rPr>
        <w:t>2019年未拨付政法专项建设资金并节约开支</w:t>
      </w:r>
      <w:r>
        <w:rPr>
          <w:rFonts w:hint="eastAsia" w:ascii="仿宋" w:hAnsi="仿宋" w:eastAsia="仿宋"/>
          <w:color w:val="000000" w:themeColor="text1"/>
          <w:sz w:val="32"/>
          <w:szCs w:val="32"/>
          <w:lang w:eastAsia="zh-CN"/>
        </w:rPr>
        <w:t>。</w:t>
      </w:r>
    </w:p>
    <w:p w14:paraId="134701B8">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14:paraId="274D323F">
      <w:pPr>
        <w:pStyle w:val="2"/>
      </w:pPr>
      <w:r>
        <w:rPr>
          <w:rFonts w:hint="eastAsia" w:ascii="仿宋" w:hAnsi="仿宋" w:eastAsia="仿宋"/>
          <w:color w:val="000000"/>
          <w:sz w:val="32"/>
          <w:szCs w:val="32"/>
          <w:lang w:eastAsia="zh-CN"/>
        </w:rPr>
        <w:drawing>
          <wp:inline distT="0" distB="0" distL="114300" distR="114300">
            <wp:extent cx="4724400" cy="2821305"/>
            <wp:effectExtent l="0" t="0" r="0" b="17145"/>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6"/>
                    <a:stretch>
                      <a:fillRect/>
                    </a:stretch>
                  </pic:blipFill>
                  <pic:spPr>
                    <a:xfrm>
                      <a:off x="0" y="0"/>
                      <a:ext cx="4724400" cy="2821305"/>
                    </a:xfrm>
                    <a:prstGeom prst="rect">
                      <a:avLst/>
                    </a:prstGeom>
                  </pic:spPr>
                </pic:pic>
              </a:graphicData>
            </a:graphic>
          </wp:inline>
        </w:drawing>
      </w:r>
    </w:p>
    <w:p w14:paraId="29D92732">
      <w:pPr>
        <w:spacing w:line="600" w:lineRule="exact"/>
        <w:ind w:firstLine="640" w:firstLineChars="200"/>
        <w:jc w:val="left"/>
        <w:rPr>
          <w:rFonts w:ascii="仿宋_GB2312" w:eastAsia="仿宋_GB2312"/>
          <w:color w:val="000000"/>
          <w:sz w:val="32"/>
          <w:szCs w:val="32"/>
        </w:rPr>
      </w:pPr>
    </w:p>
    <w:p w14:paraId="69057CC8">
      <w:pPr>
        <w:pStyle w:val="25"/>
        <w:numPr>
          <w:ilvl w:val="0"/>
          <w:numId w:val="1"/>
        </w:numPr>
        <w:spacing w:line="600" w:lineRule="exact"/>
        <w:ind w:firstLineChars="0"/>
        <w:outlineLvl w:val="1"/>
        <w:rPr>
          <w:rStyle w:val="27"/>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26"/>
      <w:bookmarkEnd w:id="27"/>
    </w:p>
    <w:p w14:paraId="2212DDAF">
      <w:pPr>
        <w:spacing w:line="600" w:lineRule="exact"/>
        <w:ind w:firstLine="640" w:firstLineChars="200"/>
        <w:rPr>
          <w:rFonts w:hint="eastAsia" w:ascii="仿宋" w:hAnsi="仿宋" w:eastAsia="仿宋"/>
          <w:b/>
          <w:bCs/>
          <w:color w:val="C00000"/>
          <w:sz w:val="32"/>
          <w:szCs w:val="32"/>
        </w:rPr>
      </w:pPr>
      <w:r>
        <w:rPr>
          <w:rFonts w:hint="eastAsia" w:ascii="仿宋" w:hAnsi="仿宋" w:eastAsia="仿宋"/>
          <w:color w:val="000000"/>
          <w:sz w:val="32"/>
          <w:szCs w:val="32"/>
        </w:rPr>
        <w:t>2019年本年收入合计1892.56万元，其中：一般公共预算财政拨款收入1892.56万元，占100%；政府性基金预算财政拨款收入0万元，占0%；国有资本经营预算财政拨款收入0万元，占0%；事业收入0万元，占0%；经营收入0万元，占0%；附属单位上缴收入0万元，占0%；其他收入0万元，占0%。</w:t>
      </w:r>
    </w:p>
    <w:p w14:paraId="0082C1C4">
      <w:pPr>
        <w:spacing w:line="600" w:lineRule="exact"/>
        <w:ind w:firstLine="640" w:firstLineChars="200"/>
        <w:rPr>
          <w:rFonts w:ascii="仿宋" w:hAnsi="仿宋" w:eastAsia="仿宋"/>
          <w:b/>
          <w:bCs/>
          <w:color w:val="C00000"/>
          <w:sz w:val="32"/>
          <w:szCs w:val="32"/>
        </w:rPr>
      </w:pPr>
      <w:r>
        <w:rPr>
          <w:rFonts w:hint="eastAsia" w:ascii="仿宋" w:hAnsi="仿宋" w:eastAsia="仿宋"/>
          <w:color w:val="000000" w:themeColor="text1"/>
          <w:sz w:val="32"/>
          <w:szCs w:val="32"/>
        </w:rPr>
        <w:t>（图2：收入决算结构图）（饼状图）</w:t>
      </w:r>
    </w:p>
    <w:p w14:paraId="67A0DAA3">
      <w:pPr>
        <w:spacing w:line="600" w:lineRule="exact"/>
        <w:ind w:firstLine="640" w:firstLineChars="200"/>
        <w:rPr>
          <w:rFonts w:hint="default"/>
          <w:lang w:val="en-US" w:eastAsia="zh-CN"/>
        </w:rPr>
      </w:pPr>
      <w:r>
        <w:rPr>
          <w:rFonts w:hint="eastAsia" w:ascii="仿宋" w:hAnsi="仿宋" w:eastAsia="仿宋"/>
          <w:color w:val="000000"/>
          <w:sz w:val="32"/>
          <w:szCs w:val="32"/>
          <w:lang w:eastAsia="zh-CN"/>
        </w:rPr>
        <w:drawing>
          <wp:anchor distT="0" distB="0" distL="114300" distR="114300" simplePos="0" relativeHeight="251659264" behindDoc="1" locked="0" layoutInCell="1" allowOverlap="1">
            <wp:simplePos x="0" y="0"/>
            <wp:positionH relativeFrom="column">
              <wp:posOffset>99695</wp:posOffset>
            </wp:positionH>
            <wp:positionV relativeFrom="paragraph">
              <wp:posOffset>224155</wp:posOffset>
            </wp:positionV>
            <wp:extent cx="5080000" cy="3810000"/>
            <wp:effectExtent l="4445" t="4445" r="20955" b="14605"/>
            <wp:wrapTight wrapText="bothSides">
              <wp:wrapPolygon>
                <wp:start x="-19" y="-25"/>
                <wp:lineTo x="-19" y="21575"/>
                <wp:lineTo x="21527" y="21575"/>
                <wp:lineTo x="21527" y="-25"/>
                <wp:lineTo x="-19" y="-25"/>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eastAsia="仿宋_GB2312"/>
          <w:color w:val="FF0000"/>
          <w:sz w:val="32"/>
          <w:szCs w:val="32"/>
          <w:lang w:val="en-US" w:eastAsia="zh-CN"/>
        </w:rPr>
        <w:t xml:space="preserve">       </w:t>
      </w:r>
    </w:p>
    <w:p w14:paraId="7925F659">
      <w:pPr>
        <w:pStyle w:val="25"/>
        <w:numPr>
          <w:ilvl w:val="0"/>
          <w:numId w:val="1"/>
        </w:numPr>
        <w:spacing w:line="600" w:lineRule="exact"/>
        <w:ind w:firstLineChars="0"/>
        <w:outlineLvl w:val="1"/>
        <w:rPr>
          <w:rStyle w:val="27"/>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7"/>
          <w:rFonts w:hint="eastAsia" w:ascii="黑体" w:hAnsi="黑体" w:eastAsia="黑体"/>
          <w:b w:val="0"/>
        </w:rPr>
        <w:t>出决算情况说明</w:t>
      </w:r>
      <w:bookmarkEnd w:id="28"/>
      <w:bookmarkEnd w:id="29"/>
    </w:p>
    <w:p w14:paraId="64BBFD9B">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1853.93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1051.19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56.7</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802.73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43.3</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24DA5E73">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14:paraId="2AE52EE2">
      <w:pPr>
        <w:spacing w:line="600" w:lineRule="exact"/>
        <w:ind w:firstLine="640" w:firstLineChars="200"/>
        <w:rPr>
          <w:rFonts w:ascii="仿宋_GB2312" w:eastAsia="仿宋_GB2312"/>
          <w:color w:val="FF0000"/>
          <w:sz w:val="32"/>
          <w:szCs w:val="32"/>
        </w:rPr>
      </w:pPr>
    </w:p>
    <w:p w14:paraId="2BCB1118">
      <w:pPr>
        <w:spacing w:line="600" w:lineRule="exact"/>
        <w:ind w:firstLine="640" w:firstLineChars="200"/>
        <w:outlineLvl w:val="1"/>
        <w:rPr>
          <w:rFonts w:hint="eastAsia" w:ascii="黑体" w:hAnsi="黑体" w:eastAsia="黑体"/>
          <w:color w:val="000000"/>
          <w:sz w:val="32"/>
          <w:szCs w:val="32"/>
        </w:rPr>
      </w:pPr>
      <w:bookmarkStart w:id="30" w:name="_Toc15396606"/>
      <w:bookmarkStart w:id="31" w:name="_Toc15377208"/>
    </w:p>
    <w:p w14:paraId="1A9D0E35">
      <w:pPr>
        <w:spacing w:line="600" w:lineRule="exact"/>
        <w:ind w:firstLine="640" w:firstLineChars="200"/>
        <w:outlineLvl w:val="1"/>
        <w:rPr>
          <w:rFonts w:hint="eastAsia" w:ascii="黑体" w:hAnsi="黑体" w:eastAsia="黑体"/>
          <w:color w:val="000000"/>
          <w:sz w:val="32"/>
          <w:szCs w:val="32"/>
        </w:rPr>
      </w:pPr>
      <w:r>
        <w:rPr>
          <w:rFonts w:hint="eastAsia" w:ascii="仿宋" w:hAnsi="仿宋" w:eastAsia="仿宋"/>
          <w:color w:val="000000" w:themeColor="text1"/>
          <w:sz w:val="32"/>
          <w:szCs w:val="32"/>
          <w:lang w:eastAsia="zh-CN"/>
        </w:rPr>
        <w:drawing>
          <wp:anchor distT="0" distB="0" distL="114300" distR="114300" simplePos="0" relativeHeight="251660288" behindDoc="0" locked="0" layoutInCell="1" allowOverlap="1">
            <wp:simplePos x="0" y="0"/>
            <wp:positionH relativeFrom="column">
              <wp:posOffset>241300</wp:posOffset>
            </wp:positionH>
            <wp:positionV relativeFrom="paragraph">
              <wp:posOffset>177165</wp:posOffset>
            </wp:positionV>
            <wp:extent cx="4600575" cy="2733675"/>
            <wp:effectExtent l="0" t="0" r="9525" b="9525"/>
            <wp:wrapSquare wrapText="bothSides"/>
            <wp:docPr id="10" name="图片 1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
                    <pic:cNvPicPr>
                      <a:picLocks noChangeAspect="1"/>
                    </pic:cNvPicPr>
                  </pic:nvPicPr>
                  <pic:blipFill>
                    <a:blip r:embed="rId8"/>
                    <a:stretch>
                      <a:fillRect/>
                    </a:stretch>
                  </pic:blipFill>
                  <pic:spPr>
                    <a:xfrm>
                      <a:off x="0" y="0"/>
                      <a:ext cx="4600575" cy="2733675"/>
                    </a:xfrm>
                    <a:prstGeom prst="rect">
                      <a:avLst/>
                    </a:prstGeom>
                  </pic:spPr>
                </pic:pic>
              </a:graphicData>
            </a:graphic>
          </wp:anchor>
        </w:drawing>
      </w:r>
    </w:p>
    <w:p w14:paraId="0F76574F">
      <w:pPr>
        <w:spacing w:line="600" w:lineRule="exact"/>
        <w:ind w:firstLine="640" w:firstLineChars="200"/>
        <w:outlineLvl w:val="1"/>
        <w:rPr>
          <w:rFonts w:hint="eastAsia" w:ascii="黑体" w:hAnsi="黑体" w:eastAsia="黑体"/>
          <w:color w:val="000000"/>
          <w:sz w:val="32"/>
          <w:szCs w:val="32"/>
        </w:rPr>
      </w:pPr>
    </w:p>
    <w:p w14:paraId="0322BEDD">
      <w:pPr>
        <w:spacing w:line="600" w:lineRule="exact"/>
        <w:ind w:firstLine="640" w:firstLineChars="200"/>
        <w:outlineLvl w:val="1"/>
        <w:rPr>
          <w:rFonts w:hint="eastAsia" w:ascii="黑体" w:hAnsi="黑体" w:eastAsia="黑体"/>
          <w:color w:val="000000"/>
          <w:sz w:val="32"/>
          <w:szCs w:val="32"/>
        </w:rPr>
      </w:pPr>
    </w:p>
    <w:p w14:paraId="6190B64F">
      <w:pPr>
        <w:spacing w:line="600" w:lineRule="exact"/>
        <w:ind w:firstLine="640" w:firstLineChars="200"/>
        <w:outlineLvl w:val="1"/>
        <w:rPr>
          <w:rFonts w:hint="eastAsia" w:ascii="黑体" w:hAnsi="黑体" w:eastAsia="黑体"/>
          <w:color w:val="000000"/>
          <w:sz w:val="32"/>
          <w:szCs w:val="32"/>
        </w:rPr>
      </w:pPr>
    </w:p>
    <w:p w14:paraId="47BE1EFC">
      <w:pPr>
        <w:spacing w:line="600" w:lineRule="exact"/>
        <w:ind w:firstLine="640" w:firstLineChars="200"/>
        <w:outlineLvl w:val="1"/>
        <w:rPr>
          <w:rFonts w:hint="eastAsia" w:ascii="黑体" w:hAnsi="黑体" w:eastAsia="黑体"/>
          <w:color w:val="000000"/>
          <w:sz w:val="32"/>
          <w:szCs w:val="32"/>
        </w:rPr>
      </w:pPr>
    </w:p>
    <w:p w14:paraId="5DB63567">
      <w:pPr>
        <w:spacing w:line="600" w:lineRule="exact"/>
        <w:ind w:firstLine="640" w:firstLineChars="200"/>
        <w:outlineLvl w:val="1"/>
        <w:rPr>
          <w:rFonts w:hint="eastAsia" w:ascii="黑体" w:hAnsi="黑体" w:eastAsia="黑体"/>
          <w:color w:val="000000"/>
          <w:sz w:val="32"/>
          <w:szCs w:val="32"/>
        </w:rPr>
      </w:pPr>
    </w:p>
    <w:p w14:paraId="3E9FBB4A">
      <w:pPr>
        <w:spacing w:line="600" w:lineRule="exact"/>
        <w:ind w:firstLine="640" w:firstLineChars="200"/>
        <w:outlineLvl w:val="1"/>
        <w:rPr>
          <w:rFonts w:hint="eastAsia" w:ascii="黑体" w:hAnsi="黑体" w:eastAsia="黑体"/>
          <w:color w:val="000000"/>
          <w:sz w:val="32"/>
          <w:szCs w:val="32"/>
        </w:rPr>
      </w:pPr>
    </w:p>
    <w:p w14:paraId="41D990B0">
      <w:pPr>
        <w:spacing w:line="600" w:lineRule="exact"/>
        <w:outlineLvl w:val="1"/>
        <w:rPr>
          <w:rFonts w:hint="eastAsia" w:ascii="黑体" w:hAnsi="黑体" w:eastAsia="黑体"/>
          <w:color w:val="000000"/>
          <w:sz w:val="32"/>
          <w:szCs w:val="32"/>
        </w:rPr>
      </w:pPr>
    </w:p>
    <w:p w14:paraId="154AD274">
      <w:pPr>
        <w:pStyle w:val="2"/>
        <w:rPr>
          <w:rFonts w:hint="eastAsia" w:ascii="仿宋" w:hAnsi="仿宋" w:eastAsia="仿宋" w:cs="仿宋"/>
          <w:sz w:val="32"/>
          <w:szCs w:val="32"/>
        </w:rPr>
      </w:pPr>
    </w:p>
    <w:p w14:paraId="59B0A6B5">
      <w:p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0"/>
      <w:bookmarkEnd w:id="31"/>
    </w:p>
    <w:p w14:paraId="222A783D">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1892.56万元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1853.93</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年相比，收、支总计各</w:t>
      </w:r>
      <w:r>
        <w:rPr>
          <w:rFonts w:hint="eastAsia" w:ascii="仿宋" w:hAnsi="仿宋" w:eastAsia="仿宋"/>
          <w:color w:val="000000"/>
          <w:sz w:val="32"/>
          <w:szCs w:val="32"/>
          <w:lang w:eastAsia="zh-CN"/>
        </w:rPr>
        <w:t>减少</w:t>
      </w:r>
      <w:r>
        <w:rPr>
          <w:rFonts w:hint="eastAsia" w:ascii="仿宋" w:hAnsi="仿宋" w:eastAsia="仿宋"/>
          <w:color w:val="000000"/>
          <w:sz w:val="32"/>
          <w:szCs w:val="32"/>
        </w:rPr>
        <w:t>4137.78</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230.75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分别下降</w:t>
      </w:r>
      <w:r>
        <w:rPr>
          <w:rFonts w:hint="eastAsia" w:ascii="仿宋" w:hAnsi="仿宋" w:eastAsia="仿宋"/>
          <w:color w:val="000000"/>
          <w:sz w:val="32"/>
          <w:szCs w:val="32"/>
          <w:lang w:val="en-US" w:eastAsia="zh-CN"/>
        </w:rPr>
        <w:t>68.62%</w:t>
      </w:r>
      <w:r>
        <w:rPr>
          <w:rFonts w:hint="eastAsia" w:ascii="仿宋" w:hAnsi="仿宋" w:eastAsia="仿宋"/>
          <w:color w:val="000000"/>
          <w:sz w:val="32"/>
          <w:szCs w:val="32"/>
          <w:lang w:eastAsia="zh-CN"/>
        </w:rPr>
        <w:t>、11.07%</w:t>
      </w:r>
      <w:r>
        <w:rPr>
          <w:rFonts w:hint="eastAsia" w:ascii="仿宋" w:hAnsi="仿宋" w:eastAsia="仿宋"/>
          <w:color w:val="000000"/>
          <w:sz w:val="32"/>
          <w:szCs w:val="32"/>
        </w:rPr>
        <w:t>。</w:t>
      </w:r>
      <w:r>
        <w:rPr>
          <w:rFonts w:hint="eastAsia" w:ascii="仿宋" w:hAnsi="仿宋" w:eastAsia="仿宋"/>
          <w:color w:val="000000" w:themeColor="text1"/>
          <w:sz w:val="32"/>
          <w:szCs w:val="32"/>
        </w:rPr>
        <w:t>主要变动原因是</w:t>
      </w:r>
      <w:r>
        <w:rPr>
          <w:rFonts w:hint="eastAsia" w:ascii="仿宋" w:hAnsi="仿宋" w:eastAsia="仿宋"/>
          <w:color w:val="000000" w:themeColor="text1"/>
          <w:sz w:val="32"/>
          <w:szCs w:val="32"/>
          <w:lang w:val="en-US" w:eastAsia="zh-CN"/>
        </w:rPr>
        <w:t>2019年未拨付政法专项建设资金并节约开支</w:t>
      </w:r>
      <w:r>
        <w:rPr>
          <w:rFonts w:hint="eastAsia" w:ascii="仿宋" w:hAnsi="仿宋" w:eastAsia="仿宋"/>
          <w:color w:val="000000" w:themeColor="text1"/>
          <w:sz w:val="32"/>
          <w:szCs w:val="32"/>
          <w:lang w:eastAsia="zh-CN"/>
        </w:rPr>
        <w:t>。</w:t>
      </w:r>
    </w:p>
    <w:p w14:paraId="0026036B">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14:paraId="3379ABFB">
      <w:pPr>
        <w:pStyle w:val="2"/>
        <w:rPr>
          <w:rFonts w:hint="eastAsia" w:ascii="仿宋" w:hAnsi="仿宋" w:eastAsia="仿宋"/>
          <w:color w:val="000000" w:themeColor="text1"/>
          <w:sz w:val="32"/>
          <w:szCs w:val="32"/>
        </w:rPr>
      </w:pPr>
      <w:r>
        <w:rPr>
          <w:rFonts w:hint="eastAsia" w:ascii="仿宋" w:hAnsi="仿宋" w:eastAsia="仿宋"/>
          <w:color w:val="000000"/>
          <w:sz w:val="32"/>
          <w:szCs w:val="32"/>
          <w:lang w:eastAsia="zh-CN"/>
        </w:rPr>
        <w:drawing>
          <wp:inline distT="0" distB="0" distL="114300" distR="114300">
            <wp:extent cx="4906645" cy="2752725"/>
            <wp:effectExtent l="0" t="0" r="8255" b="9525"/>
            <wp:docPr id="11" name="图片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
                    <pic:cNvPicPr>
                      <a:picLocks noChangeAspect="1"/>
                    </pic:cNvPicPr>
                  </pic:nvPicPr>
                  <pic:blipFill>
                    <a:blip r:embed="rId6"/>
                    <a:stretch>
                      <a:fillRect/>
                    </a:stretch>
                  </pic:blipFill>
                  <pic:spPr>
                    <a:xfrm>
                      <a:off x="0" y="0"/>
                      <a:ext cx="4906645" cy="2752725"/>
                    </a:xfrm>
                    <a:prstGeom prst="rect">
                      <a:avLst/>
                    </a:prstGeom>
                  </pic:spPr>
                </pic:pic>
              </a:graphicData>
            </a:graphic>
          </wp:inline>
        </w:drawing>
      </w:r>
    </w:p>
    <w:p w14:paraId="08AB69BA">
      <w:pPr>
        <w:spacing w:line="600" w:lineRule="exact"/>
        <w:rPr>
          <w:rFonts w:ascii="仿宋" w:hAnsi="仿宋" w:eastAsia="仿宋"/>
          <w:b/>
          <w:color w:val="00B050"/>
          <w:sz w:val="32"/>
          <w:szCs w:val="32"/>
        </w:rPr>
      </w:pPr>
    </w:p>
    <w:p w14:paraId="5617ED48">
      <w:pPr>
        <w:spacing w:line="600" w:lineRule="exact"/>
        <w:ind w:firstLine="640" w:firstLineChars="200"/>
        <w:outlineLvl w:val="1"/>
        <w:rPr>
          <w:rStyle w:val="27"/>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2"/>
      <w:bookmarkEnd w:id="33"/>
    </w:p>
    <w:p w14:paraId="62785CBF">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5BE39147">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1853.93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230.75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下降11.07%</w:t>
      </w:r>
      <w:r>
        <w:rPr>
          <w:rFonts w:hint="eastAsia" w:ascii="仿宋" w:hAnsi="仿宋" w:eastAsia="仿宋"/>
          <w:color w:val="000000"/>
          <w:sz w:val="32"/>
          <w:szCs w:val="32"/>
        </w:rPr>
        <w:t>。</w:t>
      </w:r>
      <w:r>
        <w:rPr>
          <w:rFonts w:hint="eastAsia" w:ascii="仿宋" w:hAnsi="仿宋" w:eastAsia="仿宋"/>
          <w:color w:val="000000" w:themeColor="text1"/>
          <w:sz w:val="32"/>
          <w:szCs w:val="32"/>
        </w:rPr>
        <w:t>主要变动原因是</w:t>
      </w:r>
      <w:r>
        <w:rPr>
          <w:rFonts w:hint="eastAsia" w:ascii="仿宋" w:hAnsi="仿宋" w:eastAsia="仿宋"/>
          <w:color w:val="000000" w:themeColor="text1"/>
          <w:sz w:val="32"/>
          <w:szCs w:val="32"/>
          <w:lang w:eastAsia="zh-CN"/>
        </w:rPr>
        <w:t>对</w:t>
      </w:r>
      <w:r>
        <w:rPr>
          <w:rFonts w:hint="eastAsia" w:ascii="仿宋" w:hAnsi="仿宋" w:eastAsia="仿宋"/>
          <w:color w:val="000000" w:themeColor="text1"/>
          <w:sz w:val="32"/>
          <w:szCs w:val="32"/>
          <w:lang w:val="en-US" w:eastAsia="zh-CN"/>
        </w:rPr>
        <w:t>政法专项建设资金拨付减少并节约开支</w:t>
      </w:r>
      <w:r>
        <w:rPr>
          <w:rFonts w:hint="eastAsia" w:ascii="仿宋" w:hAnsi="仿宋" w:eastAsia="仿宋"/>
          <w:color w:val="000000" w:themeColor="text1"/>
          <w:sz w:val="32"/>
          <w:szCs w:val="32"/>
          <w:lang w:eastAsia="zh-CN"/>
        </w:rPr>
        <w:t>。</w:t>
      </w:r>
    </w:p>
    <w:p w14:paraId="3740AD45">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14:paraId="7054DB07">
      <w:pPr>
        <w:pStyle w:val="2"/>
        <w:rPr>
          <w:rFonts w:hint="eastAsia" w:ascii="仿宋" w:hAnsi="仿宋" w:eastAsia="仿宋"/>
          <w:color w:val="000000" w:themeColor="text1"/>
          <w:sz w:val="32"/>
          <w:szCs w:val="32"/>
        </w:rPr>
      </w:pPr>
    </w:p>
    <w:p w14:paraId="2D1C59DF">
      <w:pPr>
        <w:pStyle w:val="2"/>
        <w:rPr>
          <w:rFonts w:hint="eastAsia" w:ascii="仿宋" w:hAnsi="仿宋" w:eastAsia="仿宋"/>
          <w:color w:val="000000" w:themeColor="text1"/>
          <w:sz w:val="32"/>
          <w:szCs w:val="32"/>
        </w:rPr>
      </w:pPr>
      <w:r>
        <w:rPr>
          <w:rFonts w:hint="eastAsia" w:ascii="仿宋" w:hAnsi="仿宋" w:eastAsia="仿宋"/>
          <w:color w:val="000000"/>
          <w:sz w:val="32"/>
          <w:szCs w:val="32"/>
          <w:lang w:eastAsia="zh-CN"/>
        </w:rPr>
        <w:drawing>
          <wp:inline distT="0" distB="0" distL="114300" distR="114300">
            <wp:extent cx="5068570" cy="2781300"/>
            <wp:effectExtent l="0" t="0" r="17780" b="0"/>
            <wp:docPr id="12" name="图片 1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5"/>
                    <pic:cNvPicPr>
                      <a:picLocks noChangeAspect="1"/>
                    </pic:cNvPicPr>
                  </pic:nvPicPr>
                  <pic:blipFill>
                    <a:blip r:embed="rId9"/>
                    <a:stretch>
                      <a:fillRect/>
                    </a:stretch>
                  </pic:blipFill>
                  <pic:spPr>
                    <a:xfrm>
                      <a:off x="0" y="0"/>
                      <a:ext cx="5068570" cy="2781300"/>
                    </a:xfrm>
                    <a:prstGeom prst="rect">
                      <a:avLst/>
                    </a:prstGeom>
                  </pic:spPr>
                </pic:pic>
              </a:graphicData>
            </a:graphic>
          </wp:inline>
        </w:drawing>
      </w:r>
    </w:p>
    <w:p w14:paraId="63E5EDC1">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37BC7D8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lang w:val="en-US" w:eastAsia="zh-CN"/>
        </w:rPr>
        <w:t>1853.93</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p>
    <w:p w14:paraId="5F4F63C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4545254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公共安全支出（类）</w:t>
      </w:r>
      <w:r>
        <w:rPr>
          <w:rFonts w:hint="eastAsia" w:ascii="仿宋" w:hAnsi="仿宋" w:eastAsia="仿宋"/>
          <w:color w:val="000000" w:themeColor="text1"/>
          <w:sz w:val="32"/>
          <w:szCs w:val="32"/>
          <w:lang w:val="en-US" w:eastAsia="zh-CN"/>
        </w:rPr>
        <w:t>1685.25</w:t>
      </w:r>
      <w:r>
        <w:rPr>
          <w:rFonts w:hint="eastAsia" w:ascii="仿宋" w:hAnsi="仿宋" w:eastAsia="仿宋"/>
          <w:color w:val="000000" w:themeColor="text1"/>
          <w:sz w:val="32"/>
          <w:szCs w:val="32"/>
        </w:rPr>
        <w:t>万元，</w:t>
      </w:r>
      <w:r>
        <w:rPr>
          <w:rFonts w:hint="eastAsia" w:ascii="仿宋" w:hAnsi="仿宋" w:eastAsia="仿宋"/>
          <w:color w:val="000000" w:themeColor="text1"/>
          <w:sz w:val="32"/>
          <w:szCs w:val="32"/>
          <w:highlight w:val="none"/>
        </w:rPr>
        <w:t>占90.90</w:t>
      </w:r>
      <w:r>
        <w:rPr>
          <w:rFonts w:ascii="仿宋" w:hAnsi="仿宋" w:eastAsia="仿宋"/>
          <w:color w:val="000000" w:themeColor="text1"/>
          <w:sz w:val="32"/>
          <w:szCs w:val="32"/>
          <w:highlight w:val="none"/>
        </w:rPr>
        <w:t>%</w:t>
      </w:r>
      <w:r>
        <w:rPr>
          <w:rFonts w:hint="eastAsia" w:ascii="仿宋" w:hAnsi="仿宋" w:eastAsia="仿宋"/>
          <w:color w:val="000000" w:themeColor="text1"/>
          <w:sz w:val="32"/>
          <w:szCs w:val="32"/>
        </w:rPr>
        <w:t>；</w:t>
      </w:r>
    </w:p>
    <w:p w14:paraId="3ED2F98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81</w:t>
      </w:r>
      <w:r>
        <w:rPr>
          <w:rFonts w:hint="eastAsia" w:ascii="仿宋" w:hAnsi="仿宋" w:eastAsia="仿宋"/>
          <w:color w:val="000000" w:themeColor="text1"/>
          <w:sz w:val="32"/>
          <w:szCs w:val="32"/>
          <w:lang w:val="en-US" w:eastAsia="zh-CN"/>
        </w:rPr>
        <w:t>.</w:t>
      </w:r>
      <w:r>
        <w:rPr>
          <w:rFonts w:hint="eastAsia" w:ascii="仿宋" w:hAnsi="仿宋" w:eastAsia="仿宋"/>
          <w:color w:val="000000" w:themeColor="text1"/>
          <w:sz w:val="32"/>
          <w:szCs w:val="32"/>
        </w:rPr>
        <w:t>53万元，占</w:t>
      </w:r>
      <w:r>
        <w:rPr>
          <w:rFonts w:hint="eastAsia" w:ascii="仿宋" w:hAnsi="仿宋" w:eastAsia="仿宋"/>
          <w:color w:val="000000" w:themeColor="text1"/>
          <w:sz w:val="32"/>
          <w:szCs w:val="32"/>
          <w:lang w:val="en-US" w:eastAsia="zh-CN"/>
        </w:rPr>
        <w:t>4.40%</w:t>
      </w:r>
      <w:r>
        <w:rPr>
          <w:rFonts w:hint="eastAsia" w:ascii="仿宋" w:hAnsi="仿宋" w:eastAsia="仿宋"/>
          <w:color w:val="000000" w:themeColor="text1"/>
          <w:sz w:val="32"/>
          <w:szCs w:val="32"/>
        </w:rPr>
        <w:t>；</w:t>
      </w:r>
    </w:p>
    <w:p w14:paraId="19DC54D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医疗卫生支出（类）</w:t>
      </w:r>
      <w:r>
        <w:rPr>
          <w:rFonts w:hint="eastAsia" w:ascii="仿宋" w:hAnsi="仿宋" w:eastAsia="仿宋"/>
          <w:color w:val="000000" w:themeColor="text1"/>
          <w:sz w:val="32"/>
          <w:szCs w:val="32"/>
        </w:rPr>
        <w:t>33</w:t>
      </w:r>
      <w:r>
        <w:rPr>
          <w:rFonts w:hint="eastAsia" w:ascii="仿宋" w:hAnsi="仿宋" w:eastAsia="仿宋"/>
          <w:color w:val="000000" w:themeColor="text1"/>
          <w:sz w:val="32"/>
          <w:szCs w:val="32"/>
          <w:lang w:val="en-US" w:eastAsia="zh-CN"/>
        </w:rPr>
        <w:t>.</w:t>
      </w:r>
      <w:r>
        <w:rPr>
          <w:rFonts w:hint="eastAsia" w:ascii="仿宋" w:hAnsi="仿宋" w:eastAsia="仿宋"/>
          <w:color w:val="000000" w:themeColor="text1"/>
          <w:sz w:val="32"/>
          <w:szCs w:val="32"/>
        </w:rPr>
        <w:t>99万元，占</w:t>
      </w:r>
      <w:r>
        <w:rPr>
          <w:rFonts w:hint="eastAsia" w:ascii="仿宋" w:hAnsi="仿宋" w:eastAsia="仿宋"/>
          <w:color w:val="000000" w:themeColor="text1"/>
          <w:sz w:val="32"/>
          <w:szCs w:val="32"/>
          <w:lang w:val="en-US" w:eastAsia="zh-CN"/>
        </w:rPr>
        <w:t>1.83%</w:t>
      </w:r>
      <w:r>
        <w:rPr>
          <w:rFonts w:hint="eastAsia" w:ascii="仿宋" w:hAnsi="仿宋" w:eastAsia="仿宋"/>
          <w:color w:val="000000" w:themeColor="text1"/>
          <w:sz w:val="32"/>
          <w:szCs w:val="32"/>
        </w:rPr>
        <w:t>；</w:t>
      </w:r>
    </w:p>
    <w:p w14:paraId="53163F5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农林水支出（类）</w:t>
      </w:r>
      <w:r>
        <w:rPr>
          <w:rFonts w:hint="eastAsia" w:ascii="仿宋" w:hAnsi="仿宋" w:eastAsia="仿宋"/>
          <w:color w:val="000000" w:themeColor="text1"/>
          <w:sz w:val="32"/>
          <w:szCs w:val="32"/>
        </w:rPr>
        <w:t>4.23</w:t>
      </w:r>
      <w:r>
        <w:rPr>
          <w:rFonts w:hint="eastAsia" w:ascii="仿宋" w:hAnsi="仿宋" w:eastAsia="仿宋"/>
          <w:color w:val="000000" w:themeColor="text1"/>
          <w:sz w:val="32"/>
          <w:szCs w:val="32"/>
          <w:lang w:val="en-US" w:eastAsia="zh-CN"/>
        </w:rPr>
        <w:t>万元</w:t>
      </w:r>
      <w:r>
        <w:rPr>
          <w:rFonts w:hint="eastAsia" w:ascii="仿宋" w:hAnsi="仿宋" w:eastAsia="仿宋"/>
          <w:color w:val="000000" w:themeColor="text1"/>
          <w:sz w:val="32"/>
          <w:szCs w:val="32"/>
        </w:rPr>
        <w:t>，占0.23%；</w:t>
      </w:r>
    </w:p>
    <w:p w14:paraId="4F32CEC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olor w:val="000000" w:themeColor="text1"/>
          <w:sz w:val="32"/>
          <w:szCs w:val="32"/>
          <w:lang w:val="en-US" w:eastAsia="zh-CN"/>
        </w:rPr>
      </w:pPr>
      <w:r>
        <w:rPr>
          <w:rFonts w:hint="eastAsia" w:ascii="仿宋" w:hAnsi="仿宋" w:eastAsia="仿宋"/>
          <w:b/>
          <w:color w:val="000000" w:themeColor="text1"/>
          <w:sz w:val="32"/>
          <w:szCs w:val="32"/>
        </w:rPr>
        <w:t>住房保障支出（类）</w:t>
      </w:r>
      <w:r>
        <w:rPr>
          <w:rFonts w:hint="eastAsia" w:ascii="仿宋" w:hAnsi="仿宋" w:eastAsia="仿宋"/>
          <w:color w:val="000000" w:themeColor="text1"/>
          <w:sz w:val="32"/>
          <w:szCs w:val="32"/>
          <w:lang w:val="en-US" w:eastAsia="zh-CN"/>
        </w:rPr>
        <w:t>48.92</w:t>
      </w:r>
      <w:r>
        <w:rPr>
          <w:rFonts w:hint="eastAsia" w:ascii="仿宋" w:hAnsi="仿宋" w:eastAsia="仿宋"/>
          <w:color w:val="000000" w:themeColor="text1"/>
          <w:sz w:val="32"/>
          <w:szCs w:val="32"/>
        </w:rPr>
        <w:t>万元，占2.64%。</w:t>
      </w:r>
    </w:p>
    <w:p w14:paraId="2ADE92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7F20343E">
      <w:pPr>
        <w:pStyle w:val="2"/>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w:t>
      </w:r>
      <w:r>
        <w:rPr>
          <w:rFonts w:hint="eastAsia" w:ascii="仿宋" w:hAnsi="仿宋" w:eastAsia="仿宋"/>
          <w:color w:val="000000" w:themeColor="text1"/>
          <w:sz w:val="32"/>
          <w:szCs w:val="32"/>
          <w:lang w:val="en-US" w:eastAsia="zh-CN"/>
        </w:rPr>
        <w:drawing>
          <wp:inline distT="0" distB="0" distL="114300" distR="114300">
            <wp:extent cx="5215255" cy="3034030"/>
            <wp:effectExtent l="0" t="0" r="4445" b="13970"/>
            <wp:docPr id="14" name="图片 1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6"/>
                    <pic:cNvPicPr>
                      <a:picLocks noChangeAspect="1"/>
                    </pic:cNvPicPr>
                  </pic:nvPicPr>
                  <pic:blipFill>
                    <a:blip r:embed="rId10"/>
                    <a:stretch>
                      <a:fillRect/>
                    </a:stretch>
                  </pic:blipFill>
                  <pic:spPr>
                    <a:xfrm>
                      <a:off x="0" y="0"/>
                      <a:ext cx="5215255" cy="3034030"/>
                    </a:xfrm>
                    <a:prstGeom prst="rect">
                      <a:avLst/>
                    </a:prstGeom>
                  </pic:spPr>
                </pic:pic>
              </a:graphicData>
            </a:graphic>
          </wp:inline>
        </w:drawing>
      </w:r>
    </w:p>
    <w:p w14:paraId="33AC9940">
      <w:pPr>
        <w:spacing w:line="600" w:lineRule="exact"/>
        <w:ind w:firstLine="640" w:firstLineChars="200"/>
        <w:rPr>
          <w:rFonts w:ascii="仿宋" w:hAnsi="仿宋" w:eastAsia="仿宋"/>
          <w:color w:val="000000"/>
          <w:sz w:val="32"/>
          <w:szCs w:val="32"/>
        </w:rPr>
      </w:pPr>
    </w:p>
    <w:p w14:paraId="6DD6D8CA">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3E402777">
      <w:pPr>
        <w:spacing w:line="600" w:lineRule="exact"/>
        <w:ind w:firstLine="643" w:firstLineChars="200"/>
        <w:outlineLvl w:val="2"/>
        <w:rPr>
          <w:rFonts w:ascii="仿宋" w:hAnsi="仿宋" w:eastAsia="仿宋"/>
          <w:color w:val="FF0000"/>
          <w:sz w:val="32"/>
          <w:szCs w:val="32"/>
        </w:rPr>
      </w:pPr>
      <w:r>
        <w:rPr>
          <w:rFonts w:hint="eastAsia" w:ascii="仿宋" w:hAnsi="仿宋" w:eastAsia="仿宋"/>
          <w:b/>
          <w:color w:val="000000" w:themeColor="text1"/>
          <w:sz w:val="32"/>
          <w:szCs w:val="32"/>
        </w:rPr>
        <w:t>201</w:t>
      </w:r>
      <w:r>
        <w:rPr>
          <w:rFonts w:hint="eastAsia" w:ascii="仿宋" w:hAnsi="仿宋" w:eastAsia="仿宋"/>
          <w:b/>
          <w:color w:val="000000" w:themeColor="text1"/>
          <w:sz w:val="32"/>
          <w:szCs w:val="32"/>
          <w:lang w:val="en-US" w:eastAsia="zh-CN"/>
        </w:rPr>
        <w:t>9</w:t>
      </w:r>
      <w:r>
        <w:rPr>
          <w:rFonts w:hint="eastAsia" w:ascii="仿宋" w:hAnsi="仿宋" w:eastAsia="仿宋"/>
          <w:b/>
          <w:color w:val="000000" w:themeColor="text1"/>
          <w:sz w:val="32"/>
          <w:szCs w:val="32"/>
        </w:rPr>
        <w:t>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1853.93万元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97.96</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p>
    <w:p w14:paraId="4D299E38">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w:t>
      </w:r>
    </w:p>
    <w:p w14:paraId="51DC295C">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2.</w:t>
      </w:r>
      <w:r>
        <w:rPr>
          <w:rFonts w:hint="eastAsia" w:ascii="仿宋" w:hAnsi="仿宋" w:eastAsia="仿宋"/>
          <w:b/>
          <w:color w:val="000000" w:themeColor="text1"/>
          <w:sz w:val="32"/>
          <w:szCs w:val="32"/>
        </w:rPr>
        <w:t>公共安全支出（类）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rPr>
        <w:t>1685.25</w:t>
      </w:r>
      <w:r>
        <w:rPr>
          <w:rFonts w:hint="eastAsia" w:ascii="仿宋" w:hAnsi="仿宋" w:eastAsia="仿宋"/>
          <w:color w:val="000000" w:themeColor="text1"/>
          <w:sz w:val="32"/>
          <w:szCs w:val="32"/>
        </w:rPr>
        <w:t>万元</w:t>
      </w:r>
      <w:r>
        <w:rPr>
          <w:rFonts w:hint="eastAsia" w:ascii="仿宋" w:hAnsi="仿宋" w:eastAsia="仿宋"/>
          <w:b w:val="0"/>
          <w:bCs/>
          <w:color w:val="000000"/>
          <w:sz w:val="32"/>
          <w:szCs w:val="32"/>
          <w:lang w:val="en-US" w:eastAsia="zh-CN"/>
        </w:rPr>
        <w:t>，完成预算的</w:t>
      </w:r>
      <w:r>
        <w:rPr>
          <w:rFonts w:hint="eastAsia" w:ascii="仿宋" w:hAnsi="仿宋" w:eastAsia="仿宋"/>
          <w:color w:val="000000" w:themeColor="text1"/>
          <w:sz w:val="32"/>
          <w:szCs w:val="32"/>
        </w:rPr>
        <w:t>97.96%</w:t>
      </w:r>
      <w:r>
        <w:rPr>
          <w:rStyle w:val="15"/>
          <w:rFonts w:hint="eastAsia" w:ascii="仿宋" w:hAnsi="仿宋" w:eastAsia="仿宋"/>
          <w:b w:val="0"/>
          <w:bCs/>
          <w:color w:val="000000"/>
          <w:sz w:val="32"/>
          <w:szCs w:val="32"/>
        </w:rPr>
        <w:t>。</w:t>
      </w:r>
    </w:p>
    <w:p w14:paraId="0E15C146">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Fonts w:hint="eastAsia" w:ascii="仿宋" w:hAnsi="仿宋" w:eastAsia="仿宋"/>
          <w:b/>
          <w:color w:val="000000" w:themeColor="text1"/>
          <w:sz w:val="32"/>
          <w:szCs w:val="32"/>
        </w:rPr>
        <w:t>社会保障和就业（类）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rPr>
        <w:t>81</w:t>
      </w:r>
      <w:r>
        <w:rPr>
          <w:rFonts w:hint="eastAsia" w:ascii="仿宋" w:hAnsi="仿宋" w:eastAsia="仿宋"/>
          <w:color w:val="000000" w:themeColor="text1"/>
          <w:sz w:val="32"/>
          <w:szCs w:val="32"/>
          <w:lang w:val="en-US" w:eastAsia="zh-CN"/>
        </w:rPr>
        <w:t>.</w:t>
      </w:r>
      <w:r>
        <w:rPr>
          <w:rFonts w:hint="eastAsia" w:ascii="仿宋" w:hAnsi="仿宋" w:eastAsia="仿宋"/>
          <w:color w:val="000000" w:themeColor="text1"/>
          <w:sz w:val="32"/>
          <w:szCs w:val="32"/>
        </w:rPr>
        <w:t>53万元</w:t>
      </w:r>
      <w:r>
        <w:rPr>
          <w:rFonts w:hint="eastAsia" w:ascii="仿宋" w:hAnsi="仿宋" w:eastAsia="仿宋"/>
          <w:b w:val="0"/>
          <w:bCs/>
          <w:color w:val="000000"/>
          <w:sz w:val="32"/>
          <w:szCs w:val="32"/>
          <w:lang w:val="en-US" w:eastAsia="zh-CN"/>
        </w:rPr>
        <w:t>，完成预算的100%</w:t>
      </w:r>
      <w:r>
        <w:rPr>
          <w:rStyle w:val="15"/>
          <w:rFonts w:hint="eastAsia" w:ascii="仿宋" w:hAnsi="仿宋" w:eastAsia="仿宋"/>
          <w:b w:val="0"/>
          <w:bCs/>
          <w:color w:val="000000"/>
          <w:sz w:val="32"/>
          <w:szCs w:val="32"/>
        </w:rPr>
        <w:t>。</w:t>
      </w:r>
    </w:p>
    <w:p w14:paraId="3A8BE391">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Fonts w:hint="eastAsia" w:ascii="仿宋" w:hAnsi="仿宋" w:eastAsia="仿宋"/>
          <w:b/>
          <w:color w:val="000000" w:themeColor="text1"/>
          <w:sz w:val="32"/>
          <w:szCs w:val="32"/>
        </w:rPr>
        <w:t>医疗卫生支出（类）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rPr>
        <w:t>33</w:t>
      </w:r>
      <w:r>
        <w:rPr>
          <w:rFonts w:hint="eastAsia" w:ascii="仿宋" w:hAnsi="仿宋" w:eastAsia="仿宋"/>
          <w:color w:val="000000" w:themeColor="text1"/>
          <w:sz w:val="32"/>
          <w:szCs w:val="32"/>
          <w:lang w:val="en-US" w:eastAsia="zh-CN"/>
        </w:rPr>
        <w:t>.</w:t>
      </w:r>
      <w:r>
        <w:rPr>
          <w:rFonts w:hint="eastAsia" w:ascii="仿宋" w:hAnsi="仿宋" w:eastAsia="仿宋"/>
          <w:color w:val="000000" w:themeColor="text1"/>
          <w:sz w:val="32"/>
          <w:szCs w:val="32"/>
        </w:rPr>
        <w:t>99万元</w:t>
      </w:r>
      <w:r>
        <w:rPr>
          <w:rFonts w:hint="eastAsia" w:ascii="仿宋" w:hAnsi="仿宋" w:eastAsia="仿宋"/>
          <w:b w:val="0"/>
          <w:bCs/>
          <w:color w:val="000000"/>
          <w:sz w:val="32"/>
          <w:szCs w:val="32"/>
          <w:lang w:val="en-US" w:eastAsia="zh-CN"/>
        </w:rPr>
        <w:t>，完成预算的100%</w:t>
      </w:r>
      <w:r>
        <w:rPr>
          <w:rStyle w:val="15"/>
          <w:rFonts w:hint="eastAsia" w:ascii="仿宋" w:hAnsi="仿宋" w:eastAsia="仿宋"/>
          <w:b w:val="0"/>
          <w:bCs/>
          <w:color w:val="000000"/>
          <w:sz w:val="32"/>
          <w:szCs w:val="32"/>
        </w:rPr>
        <w:t>。</w:t>
      </w:r>
    </w:p>
    <w:p w14:paraId="1B4AC165">
      <w:pPr>
        <w:spacing w:line="600" w:lineRule="exact"/>
        <w:ind w:firstLine="643" w:firstLineChars="200"/>
        <w:rPr>
          <w:rFonts w:ascii="仿宋" w:hAnsi="仿宋" w:eastAsia="仿宋"/>
          <w:b/>
          <w:color w:val="000000" w:themeColor="text1"/>
          <w:sz w:val="32"/>
          <w:szCs w:val="32"/>
        </w:rPr>
      </w:pPr>
      <w:r>
        <w:rPr>
          <w:rStyle w:val="15"/>
          <w:rFonts w:ascii="仿宋" w:hAnsi="仿宋" w:eastAsia="仿宋"/>
          <w:bCs/>
          <w:color w:val="000000"/>
          <w:sz w:val="32"/>
          <w:szCs w:val="32"/>
        </w:rPr>
        <w:t>5.</w:t>
      </w:r>
      <w:r>
        <w:rPr>
          <w:rFonts w:hint="eastAsia" w:ascii="仿宋" w:hAnsi="仿宋" w:eastAsia="仿宋"/>
          <w:b/>
          <w:color w:val="000000" w:themeColor="text1"/>
          <w:sz w:val="32"/>
          <w:szCs w:val="32"/>
        </w:rPr>
        <w:t>农林水支出（类）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rPr>
        <w:t>4.23</w:t>
      </w:r>
      <w:r>
        <w:rPr>
          <w:rFonts w:hint="eastAsia" w:ascii="仿宋" w:hAnsi="仿宋" w:eastAsia="仿宋"/>
          <w:color w:val="000000" w:themeColor="text1"/>
          <w:sz w:val="32"/>
          <w:szCs w:val="32"/>
          <w:lang w:val="en-US" w:eastAsia="zh-CN"/>
        </w:rPr>
        <w:t>万元</w:t>
      </w:r>
      <w:r>
        <w:rPr>
          <w:rStyle w:val="15"/>
          <w:rFonts w:hint="eastAsia" w:ascii="仿宋" w:hAnsi="仿宋" w:eastAsia="仿宋"/>
          <w:b w:val="0"/>
          <w:bCs/>
          <w:color w:val="000000"/>
          <w:sz w:val="32"/>
          <w:szCs w:val="32"/>
        </w:rPr>
        <w:t>，</w:t>
      </w:r>
      <w:r>
        <w:rPr>
          <w:rStyle w:val="15"/>
          <w:rFonts w:hint="eastAsia" w:ascii="仿宋" w:hAnsi="仿宋" w:eastAsia="仿宋"/>
          <w:b w:val="0"/>
          <w:bCs/>
          <w:color w:val="000000" w:themeColor="text1"/>
          <w:sz w:val="32"/>
          <w:szCs w:val="32"/>
        </w:rPr>
        <w:t>完成预算</w:t>
      </w:r>
      <w:r>
        <w:rPr>
          <w:rStyle w:val="15"/>
          <w:rFonts w:hint="eastAsia" w:ascii="仿宋" w:hAnsi="仿宋" w:eastAsia="仿宋"/>
          <w:b w:val="0"/>
          <w:bCs/>
          <w:color w:val="000000" w:themeColor="text1"/>
          <w:sz w:val="32"/>
          <w:szCs w:val="32"/>
          <w:lang w:val="en-US" w:eastAsia="zh-CN"/>
        </w:rPr>
        <w:t>100</w:t>
      </w:r>
      <w:r>
        <w:rPr>
          <w:rStyle w:val="15"/>
          <w:rFonts w:ascii="仿宋" w:hAnsi="仿宋" w:eastAsia="仿宋"/>
          <w:b w:val="0"/>
          <w:bCs/>
          <w:color w:val="000000" w:themeColor="text1"/>
          <w:sz w:val="32"/>
          <w:szCs w:val="32"/>
        </w:rPr>
        <w:t>%</w:t>
      </w:r>
      <w:r>
        <w:rPr>
          <w:rStyle w:val="15"/>
          <w:rFonts w:hint="eastAsia" w:ascii="仿宋" w:hAnsi="仿宋" w:eastAsia="仿宋"/>
          <w:b w:val="0"/>
          <w:bCs/>
          <w:color w:val="000000" w:themeColor="text1"/>
          <w:sz w:val="32"/>
          <w:szCs w:val="32"/>
        </w:rPr>
        <w:t>。</w:t>
      </w:r>
    </w:p>
    <w:p w14:paraId="39A6DB9F">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Style w:val="15"/>
          <w:rFonts w:hint="eastAsia" w:ascii="仿宋" w:hAnsi="仿宋" w:eastAsia="仿宋"/>
          <w:b w:val="0"/>
          <w:bCs/>
          <w:color w:val="000000"/>
          <w:sz w:val="32"/>
          <w:szCs w:val="32"/>
        </w:rPr>
      </w:pPr>
      <w:r>
        <w:rPr>
          <w:rStyle w:val="15"/>
          <w:rFonts w:ascii="仿宋" w:hAnsi="仿宋" w:eastAsia="仿宋"/>
          <w:bCs/>
          <w:color w:val="000000"/>
          <w:sz w:val="32"/>
          <w:szCs w:val="32"/>
        </w:rPr>
        <w:t>6.</w:t>
      </w:r>
      <w:r>
        <w:rPr>
          <w:rFonts w:hint="eastAsia" w:ascii="仿宋" w:hAnsi="仿宋" w:eastAsia="仿宋"/>
          <w:b/>
          <w:color w:val="000000" w:themeColor="text1"/>
          <w:sz w:val="32"/>
          <w:szCs w:val="32"/>
        </w:rPr>
        <w:t>住房保障支出（类）</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rPr>
        <w:t>48.92</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完成预算的100%</w:t>
      </w:r>
      <w:r>
        <w:rPr>
          <w:rStyle w:val="15"/>
          <w:rFonts w:hint="eastAsia" w:ascii="仿宋" w:hAnsi="仿宋" w:eastAsia="仿宋"/>
          <w:b w:val="0"/>
          <w:bCs/>
          <w:color w:val="000000"/>
          <w:sz w:val="32"/>
          <w:szCs w:val="32"/>
        </w:rPr>
        <w:t>。</w:t>
      </w:r>
    </w:p>
    <w:p w14:paraId="756377CA">
      <w:pPr>
        <w:keepNext w:val="0"/>
        <w:keepLines w:val="0"/>
        <w:pageBreakBefore w:val="0"/>
        <w:widowControl w:val="0"/>
        <w:tabs>
          <w:tab w:val="right" w:pos="8306"/>
        </w:tabs>
        <w:kinsoku/>
        <w:wordWrap/>
        <w:overflowPunct/>
        <w:topLinePunct w:val="0"/>
        <w:autoSpaceDE/>
        <w:autoSpaceDN/>
        <w:bidi w:val="0"/>
        <w:adjustRightInd/>
        <w:spacing w:line="600" w:lineRule="exact"/>
        <w:ind w:firstLine="640"/>
        <w:textAlignment w:val="auto"/>
        <w:outlineLvl w:val="1"/>
        <w:rPr>
          <w:rStyle w:val="27"/>
        </w:rPr>
      </w:pPr>
      <w:bookmarkStart w:id="37" w:name="_Toc15377214"/>
      <w:bookmarkStart w:id="38"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37"/>
      <w:bookmarkEnd w:id="38"/>
      <w:r>
        <w:rPr>
          <w:rStyle w:val="27"/>
          <w:rFonts w:ascii="黑体" w:hAnsi="黑体" w:eastAsia="黑体"/>
          <w:b w:val="0"/>
        </w:rPr>
        <w:tab/>
      </w:r>
    </w:p>
    <w:p w14:paraId="4DA4154D">
      <w:pPr>
        <w:keepNext w:val="0"/>
        <w:keepLines w:val="0"/>
        <w:pageBreakBefore w:val="0"/>
        <w:widowControl w:val="0"/>
        <w:kinsoku/>
        <w:wordWrap/>
        <w:overflowPunct/>
        <w:topLinePunct w:val="0"/>
        <w:autoSpaceDE/>
        <w:autoSpaceDN/>
        <w:bidi w:val="0"/>
        <w:adjustRightInd/>
        <w:spacing w:line="600" w:lineRule="exact"/>
        <w:ind w:firstLine="645"/>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1051.19</w:t>
      </w:r>
      <w:r>
        <w:rPr>
          <w:rFonts w:hint="eastAsia" w:ascii="仿宋" w:hAnsi="仿宋" w:eastAsia="仿宋"/>
          <w:color w:val="000000"/>
          <w:sz w:val="32"/>
          <w:szCs w:val="32"/>
        </w:rPr>
        <w:t>万元，其中：</w:t>
      </w:r>
    </w:p>
    <w:p w14:paraId="5C279EFC">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themeColor="text1"/>
          <w:sz w:val="32"/>
          <w:szCs w:val="32"/>
          <w:lang w:val="en-US" w:eastAsia="zh-CN"/>
        </w:rPr>
        <w:t>712.52</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338.67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C557934">
      <w:pPr>
        <w:keepNext w:val="0"/>
        <w:keepLines w:val="0"/>
        <w:pageBreakBefore w:val="0"/>
        <w:widowControl w:val="0"/>
        <w:kinsoku/>
        <w:wordWrap/>
        <w:overflowPunct/>
        <w:topLinePunct w:val="0"/>
        <w:autoSpaceDE/>
        <w:autoSpaceDN/>
        <w:bidi w:val="0"/>
        <w:adjustRightInd/>
        <w:spacing w:line="600" w:lineRule="exact"/>
        <w:ind w:firstLine="640"/>
        <w:textAlignment w:val="auto"/>
        <w:outlineLvl w:val="1"/>
        <w:rPr>
          <w:rStyle w:val="27"/>
          <w:rFonts w:ascii="黑体" w:hAnsi="黑体" w:eastAsia="黑体"/>
          <w:b w:val="0"/>
        </w:rPr>
      </w:pPr>
      <w:bookmarkStart w:id="39" w:name="_Toc15396609"/>
      <w:bookmarkStart w:id="40"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39"/>
      <w:bookmarkEnd w:id="40"/>
    </w:p>
    <w:p w14:paraId="40EC8B80">
      <w:pPr>
        <w:keepNext w:val="0"/>
        <w:keepLines w:val="0"/>
        <w:pageBreakBefore w:val="0"/>
        <w:widowControl w:val="0"/>
        <w:kinsoku/>
        <w:wordWrap/>
        <w:overflowPunct/>
        <w:topLinePunct w:val="0"/>
        <w:autoSpaceDE/>
        <w:autoSpaceDN/>
        <w:bidi w:val="0"/>
        <w:adjustRightInd/>
        <w:spacing w:line="600" w:lineRule="exact"/>
        <w:ind w:firstLine="640"/>
        <w:textAlignment w:val="auto"/>
        <w:outlineLvl w:val="2"/>
        <w:rPr>
          <w:rFonts w:ascii="仿宋" w:hAnsi="仿宋" w:eastAsia="仿宋"/>
          <w:b/>
          <w:color w:val="000000"/>
          <w:sz w:val="32"/>
          <w:szCs w:val="32"/>
        </w:rPr>
      </w:pPr>
      <w:bookmarkStart w:id="41" w:name="_Toc15377216"/>
      <w:r>
        <w:rPr>
          <w:rFonts w:hint="eastAsia" w:ascii="仿宋" w:hAnsi="仿宋" w:eastAsia="仿宋"/>
          <w:b/>
          <w:color w:val="000000"/>
          <w:sz w:val="32"/>
          <w:szCs w:val="32"/>
        </w:rPr>
        <w:t>（一）“三公”经费财政拨款支出决算总体情况说明</w:t>
      </w:r>
      <w:bookmarkEnd w:id="41"/>
    </w:p>
    <w:p w14:paraId="262F7143">
      <w:pPr>
        <w:keepNext w:val="0"/>
        <w:keepLines w:val="0"/>
        <w:pageBreakBefore w:val="0"/>
        <w:widowControl w:val="0"/>
        <w:kinsoku/>
        <w:wordWrap/>
        <w:overflowPunct/>
        <w:topLinePunct w:val="0"/>
        <w:autoSpaceDE/>
        <w:autoSpaceDN/>
        <w:bidi w:val="0"/>
        <w:adjustRightInd/>
        <w:spacing w:line="600" w:lineRule="exact"/>
        <w:ind w:firstLine="640"/>
        <w:textAlignment w:val="auto"/>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25.03</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34.91</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厉行节约，减少三公经费开支</w:t>
      </w:r>
      <w:r>
        <w:rPr>
          <w:rFonts w:hint="eastAsia" w:ascii="仿宋" w:hAnsi="仿宋" w:eastAsia="仿宋"/>
          <w:color w:val="000000"/>
          <w:sz w:val="32"/>
          <w:szCs w:val="32"/>
        </w:rPr>
        <w:t>。</w:t>
      </w:r>
    </w:p>
    <w:p w14:paraId="5D6B8B3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ascii="仿宋" w:hAnsi="仿宋" w:eastAsia="仿宋"/>
          <w:b/>
          <w:color w:val="000000" w:themeColor="text1"/>
          <w:sz w:val="32"/>
          <w:szCs w:val="32"/>
        </w:rPr>
      </w:pPr>
      <w:r>
        <w:rPr>
          <w:rFonts w:hint="eastAsia" w:ascii="仿宋" w:hAnsi="仿宋" w:eastAsia="仿宋"/>
          <w:b/>
          <w:color w:val="000000"/>
          <w:sz w:val="32"/>
          <w:szCs w:val="32"/>
        </w:rPr>
        <w:t>（上述“预算”口径为调整预</w:t>
      </w:r>
      <w:r>
        <w:rPr>
          <w:rFonts w:hint="eastAsia" w:ascii="仿宋" w:hAnsi="仿宋" w:eastAsia="仿宋"/>
          <w:b/>
          <w:color w:val="000000" w:themeColor="text1"/>
          <w:sz w:val="32"/>
          <w:szCs w:val="32"/>
        </w:rPr>
        <w:t>算数，包括政府性基金支出决算情况。）</w:t>
      </w:r>
    </w:p>
    <w:p w14:paraId="2D19349D">
      <w:pPr>
        <w:keepNext w:val="0"/>
        <w:keepLines w:val="0"/>
        <w:pageBreakBefore w:val="0"/>
        <w:widowControl w:val="0"/>
        <w:kinsoku/>
        <w:wordWrap/>
        <w:overflowPunct/>
        <w:topLinePunct w:val="0"/>
        <w:autoSpaceDE/>
        <w:autoSpaceDN/>
        <w:bidi w:val="0"/>
        <w:adjustRightInd/>
        <w:spacing w:line="600" w:lineRule="exact"/>
        <w:ind w:firstLine="640"/>
        <w:textAlignment w:val="auto"/>
        <w:outlineLvl w:val="2"/>
        <w:rPr>
          <w:rFonts w:ascii="仿宋" w:hAnsi="仿宋" w:eastAsia="仿宋"/>
          <w:b/>
          <w:color w:val="000000"/>
          <w:sz w:val="32"/>
          <w:szCs w:val="32"/>
        </w:rPr>
      </w:pPr>
      <w:bookmarkStart w:id="42" w:name="_Toc15377217"/>
      <w:r>
        <w:rPr>
          <w:rFonts w:hint="eastAsia" w:ascii="仿宋" w:hAnsi="仿宋" w:eastAsia="仿宋"/>
          <w:b/>
          <w:color w:val="000000"/>
          <w:sz w:val="32"/>
          <w:szCs w:val="32"/>
        </w:rPr>
        <w:t>（二）“三公”经费财政拨款支出决算具体情况说明</w:t>
      </w:r>
      <w:bookmarkEnd w:id="42"/>
    </w:p>
    <w:p w14:paraId="4335905C">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22.6</w:t>
      </w:r>
      <w:r>
        <w:rPr>
          <w:rFonts w:hint="eastAsia" w:ascii="仿宋" w:hAnsi="仿宋" w:eastAsia="仿宋"/>
          <w:color w:val="000000"/>
          <w:sz w:val="32"/>
          <w:szCs w:val="32"/>
        </w:rPr>
        <w:t>万元；公务接待费支出决算</w:t>
      </w:r>
      <w:r>
        <w:rPr>
          <w:rFonts w:hint="eastAsia" w:ascii="仿宋" w:hAnsi="仿宋" w:eastAsia="仿宋"/>
          <w:color w:val="000000"/>
          <w:sz w:val="32"/>
          <w:szCs w:val="32"/>
          <w:lang w:val="en-US" w:eastAsia="zh-CN"/>
        </w:rPr>
        <w:t>2.43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4A311CED">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仿宋" w:hAnsi="仿宋" w:eastAsia="仿宋"/>
          <w:color w:val="000000"/>
          <w:sz w:val="32"/>
          <w:szCs w:val="32"/>
        </w:rPr>
      </w:pPr>
      <w:r>
        <w:rPr>
          <w:rFonts w:hint="eastAsia" w:ascii="仿宋" w:hAnsi="仿宋" w:eastAsia="仿宋"/>
          <w:color w:val="000000"/>
          <w:sz w:val="32"/>
          <w:szCs w:val="32"/>
        </w:rPr>
        <w:t>（图8：“三公”经费财政拨款支出结构）（饼状图）</w:t>
      </w:r>
    </w:p>
    <w:p w14:paraId="5F5CB14E">
      <w:pPr>
        <w:pStyle w:val="2"/>
        <w:rPr>
          <w:rFonts w:hint="eastAsia" w:ascii="仿宋" w:hAnsi="仿宋" w:eastAsia="仿宋"/>
          <w:color w:val="000000"/>
          <w:sz w:val="32"/>
          <w:szCs w:val="32"/>
        </w:rPr>
      </w:pPr>
      <w:r>
        <w:rPr>
          <w:rFonts w:hint="eastAsia" w:ascii="仿宋" w:hAnsi="仿宋" w:eastAsia="仿宋"/>
          <w:color w:val="000000"/>
          <w:sz w:val="32"/>
          <w:szCs w:val="32"/>
          <w:lang w:eastAsia="zh-CN"/>
        </w:rPr>
        <w:drawing>
          <wp:inline distT="0" distB="0" distL="114300" distR="114300">
            <wp:extent cx="4784725" cy="2980690"/>
            <wp:effectExtent l="0" t="0" r="15875" b="10160"/>
            <wp:docPr id="15" name="图片 1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8"/>
                    <pic:cNvPicPr>
                      <a:picLocks noChangeAspect="1"/>
                    </pic:cNvPicPr>
                  </pic:nvPicPr>
                  <pic:blipFill>
                    <a:blip r:embed="rId11"/>
                    <a:stretch>
                      <a:fillRect/>
                    </a:stretch>
                  </pic:blipFill>
                  <pic:spPr>
                    <a:xfrm>
                      <a:off x="0" y="0"/>
                      <a:ext cx="4784725" cy="2980690"/>
                    </a:xfrm>
                    <a:prstGeom prst="rect">
                      <a:avLst/>
                    </a:prstGeom>
                  </pic:spPr>
                </pic:pic>
              </a:graphicData>
            </a:graphic>
          </wp:inline>
        </w:drawing>
      </w:r>
    </w:p>
    <w:p w14:paraId="73F268A5">
      <w:pPr>
        <w:pStyle w:val="2"/>
        <w:keepNext w:val="0"/>
        <w:keepLines w:val="0"/>
        <w:pageBreakBefore w:val="0"/>
        <w:widowControl w:val="0"/>
        <w:kinsoku/>
        <w:wordWrap/>
        <w:overflowPunct/>
        <w:topLinePunct w:val="0"/>
        <w:bidi w:val="0"/>
        <w:spacing w:line="600" w:lineRule="exact"/>
        <w:textAlignment w:val="auto"/>
        <w:rPr>
          <w:rFonts w:hint="eastAsia" w:ascii="仿宋" w:hAnsi="仿宋" w:eastAsia="仿宋"/>
          <w:color w:val="000000"/>
          <w:sz w:val="32"/>
          <w:szCs w:val="32"/>
        </w:rPr>
      </w:pPr>
    </w:p>
    <w:p w14:paraId="2362F231">
      <w:pPr>
        <w:keepNext w:val="0"/>
        <w:keepLines w:val="0"/>
        <w:pageBreakBefore w:val="0"/>
        <w:widowControl w:val="0"/>
        <w:kinsoku/>
        <w:wordWrap/>
        <w:overflowPunct/>
        <w:topLinePunct w:val="0"/>
        <w:bidi w:val="0"/>
        <w:spacing w:line="600" w:lineRule="exact"/>
        <w:ind w:firstLine="640"/>
        <w:textAlignment w:val="auto"/>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14:paraId="45EE8A6F">
      <w:pPr>
        <w:keepNext w:val="0"/>
        <w:keepLines w:val="0"/>
        <w:pageBreakBefore w:val="0"/>
        <w:widowControl w:val="0"/>
        <w:kinsoku/>
        <w:wordWrap/>
        <w:overflowPunct/>
        <w:topLinePunct w:val="0"/>
        <w:bidi w:val="0"/>
        <w:spacing w:line="60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 w:hAnsi="仿宋" w:eastAsia="仿宋"/>
          <w:color w:val="000000"/>
          <w:sz w:val="32"/>
          <w:szCs w:val="32"/>
          <w:lang w:val="en-US" w:eastAsia="zh-CN"/>
        </w:rPr>
        <w:t>22.6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34.24</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80.73万元，</w:t>
      </w:r>
      <w:r>
        <w:rPr>
          <w:rFonts w:hint="eastAsia" w:ascii="仿宋_GB2312" w:eastAsia="仿宋_GB2312"/>
          <w:color w:val="000000"/>
          <w:sz w:val="32"/>
          <w:szCs w:val="32"/>
        </w:rPr>
        <w:t>主要原因</w:t>
      </w:r>
      <w:r>
        <w:rPr>
          <w:rFonts w:hint="eastAsia" w:ascii="仿宋_GB2312" w:eastAsia="仿宋_GB2312"/>
          <w:color w:val="000000"/>
          <w:sz w:val="32"/>
          <w:szCs w:val="32"/>
          <w:lang w:val="en-US" w:eastAsia="zh-CN"/>
        </w:rPr>
        <w:t>单位厉行节约，本年度未购置公务用车及控制公务出差车辆数等减少开支</w:t>
      </w:r>
      <w:r>
        <w:rPr>
          <w:rFonts w:hint="eastAsia" w:ascii="仿宋_GB2312" w:eastAsia="仿宋_GB2312"/>
          <w:color w:val="000000"/>
          <w:sz w:val="32"/>
          <w:szCs w:val="32"/>
        </w:rPr>
        <w:t>。</w:t>
      </w:r>
    </w:p>
    <w:p w14:paraId="6CB6B0E1">
      <w:pPr>
        <w:keepNext w:val="0"/>
        <w:keepLines w:val="0"/>
        <w:pageBreakBefore w:val="0"/>
        <w:widowControl w:val="0"/>
        <w:kinsoku/>
        <w:wordWrap/>
        <w:overflowPunct/>
        <w:topLinePunct w:val="0"/>
        <w:bidi w:val="0"/>
        <w:spacing w:line="600" w:lineRule="exact"/>
        <w:ind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w:t>
      </w:r>
      <w:r>
        <w:rPr>
          <w:rFonts w:hint="eastAsia" w:ascii="仿宋_GB2312" w:eastAsia="仿宋_GB2312"/>
          <w:color w:val="000000"/>
          <w:sz w:val="32"/>
          <w:szCs w:val="32"/>
          <w:lang w:val="en-US" w:eastAsia="zh-CN"/>
        </w:rPr>
        <w:t>未</w:t>
      </w:r>
      <w:r>
        <w:rPr>
          <w:rFonts w:hint="eastAsia" w:ascii="仿宋_GB2312" w:eastAsia="仿宋_GB2312"/>
          <w:color w:val="000000"/>
          <w:sz w:val="32"/>
          <w:szCs w:val="32"/>
        </w:rPr>
        <w:t>更新购置公务用车</w:t>
      </w:r>
      <w:r>
        <w:rPr>
          <w:rFonts w:hint="eastAsia" w:ascii="仿宋_GB2312" w:eastAsia="仿宋_GB2312"/>
          <w:color w:val="000000"/>
          <w:sz w:val="32"/>
          <w:szCs w:val="32"/>
          <w:lang w:eastAsia="zh-CN"/>
        </w:rPr>
        <w:t>。</w:t>
      </w:r>
    </w:p>
    <w:p w14:paraId="12E35F98">
      <w:pPr>
        <w:keepNext w:val="0"/>
        <w:keepLines w:val="0"/>
        <w:pageBreakBefore w:val="0"/>
        <w:widowControl w:val="0"/>
        <w:kinsoku/>
        <w:wordWrap/>
        <w:overflowPunct/>
        <w:topLinePunct w:val="0"/>
        <w:bidi w:val="0"/>
        <w:spacing w:line="600" w:lineRule="exact"/>
        <w:ind w:firstLine="64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hAnsi="Times New Roman" w:eastAsia="仿宋_GB2312" w:cs="Times New Roman"/>
          <w:color w:val="000000"/>
          <w:kern w:val="2"/>
          <w:sz w:val="32"/>
          <w:szCs w:val="32"/>
          <w:lang w:val="en-US" w:eastAsia="zh-CN" w:bidi="ar-SA"/>
        </w:rPr>
        <w:t>22.6万元</w:t>
      </w:r>
      <w:r>
        <w:rPr>
          <w:rFonts w:hint="eastAsia" w:ascii="仿宋_GB2312" w:eastAsia="仿宋_GB2312"/>
          <w:color w:val="000000"/>
          <w:sz w:val="32"/>
          <w:szCs w:val="32"/>
        </w:rPr>
        <w:t>，</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34.24%，</w:t>
      </w:r>
      <w:r>
        <w:rPr>
          <w:rFonts w:hint="eastAsia" w:ascii="仿宋_GB2312" w:eastAsia="仿宋_GB2312"/>
          <w:color w:val="000000"/>
          <w:sz w:val="32"/>
          <w:szCs w:val="32"/>
        </w:rPr>
        <w:t>主要用于</w:t>
      </w:r>
      <w:r>
        <w:rPr>
          <w:rFonts w:hint="eastAsia" w:ascii="仿宋_GB2312" w:eastAsia="仿宋_GB2312"/>
          <w:color w:val="000000"/>
          <w:sz w:val="32"/>
          <w:szCs w:val="32"/>
          <w:lang w:val="en-US" w:eastAsia="zh-CN"/>
        </w:rPr>
        <w:t>办案执行</w:t>
      </w:r>
      <w:r>
        <w:rPr>
          <w:rFonts w:hint="eastAsia" w:ascii="仿宋_GB2312" w:eastAsia="仿宋_GB2312"/>
          <w:color w:val="000000"/>
          <w:sz w:val="32"/>
          <w:szCs w:val="32"/>
        </w:rPr>
        <w:t>等所需的公务用车燃料费、维修费、过路过桥费、保险费等支出。</w:t>
      </w:r>
    </w:p>
    <w:p w14:paraId="4B5AD0A7">
      <w:pPr>
        <w:keepNext w:val="0"/>
        <w:keepLines w:val="0"/>
        <w:pageBreakBefore w:val="0"/>
        <w:widowControl w:val="0"/>
        <w:kinsoku/>
        <w:wordWrap/>
        <w:overflowPunct/>
        <w:topLinePunct w:val="0"/>
        <w:bidi w:val="0"/>
        <w:spacing w:line="600" w:lineRule="exact"/>
        <w:ind w:firstLine="640"/>
        <w:textAlignment w:val="auto"/>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olor w:val="000000"/>
          <w:sz w:val="32"/>
          <w:szCs w:val="32"/>
          <w:lang w:val="en-US" w:eastAsia="zh-CN"/>
        </w:rPr>
        <w:t>2.43</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42.63</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增加0.13</w:t>
      </w:r>
      <w:r>
        <w:rPr>
          <w:rFonts w:hint="eastAsia" w:ascii="仿宋_GB2312" w:eastAsia="仿宋_GB2312"/>
          <w:color w:val="000000"/>
          <w:sz w:val="32"/>
          <w:szCs w:val="32"/>
        </w:rPr>
        <w:t>万元。主要原因是</w:t>
      </w:r>
      <w:r>
        <w:rPr>
          <w:rFonts w:hint="eastAsia" w:ascii="仿宋_GB2312" w:eastAsia="仿宋_GB2312"/>
          <w:color w:val="000000" w:themeColor="text1"/>
          <w:sz w:val="32"/>
          <w:szCs w:val="32"/>
          <w:lang w:val="en-US" w:eastAsia="zh-CN"/>
        </w:rPr>
        <w:t>2019年搬入新办公场所后迎接检查交流变多，公务接待次数增加</w:t>
      </w:r>
      <w:r>
        <w:rPr>
          <w:rFonts w:hint="eastAsia" w:ascii="仿宋_GB2312" w:eastAsia="仿宋_GB2312"/>
          <w:color w:val="000000"/>
          <w:sz w:val="32"/>
          <w:szCs w:val="32"/>
        </w:rPr>
        <w:t>万元。</w:t>
      </w:r>
    </w:p>
    <w:p w14:paraId="67E396AA">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286</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2.43</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重庆二中院调研审判执行情况、中院调研行政审判、论文写作等。</w:t>
      </w:r>
    </w:p>
    <w:p w14:paraId="31230AC9">
      <w:pPr>
        <w:keepNext w:val="0"/>
        <w:keepLines w:val="0"/>
        <w:pageBreakBefore w:val="0"/>
        <w:widowControl w:val="0"/>
        <w:kinsoku/>
        <w:wordWrap/>
        <w:overflowPunct/>
        <w:topLinePunct w:val="0"/>
        <w:bidi w:val="0"/>
        <w:spacing w:line="600" w:lineRule="exact"/>
        <w:ind w:firstLine="640" w:firstLineChars="200"/>
        <w:textAlignment w:val="auto"/>
        <w:rPr>
          <w:rFonts w:hint="eastAsia" w:ascii="黑体" w:eastAsia="黑体"/>
          <w:color w:val="000000"/>
          <w:sz w:val="32"/>
          <w:szCs w:val="32"/>
        </w:rPr>
      </w:pPr>
      <w:r>
        <w:rPr>
          <w:rFonts w:hint="eastAsia" w:ascii="仿宋_GB2312" w:eastAsia="仿宋_GB2312"/>
          <w:color w:val="000000"/>
          <w:sz w:val="32"/>
          <w:szCs w:val="32"/>
        </w:rPr>
        <w:t>其中：</w:t>
      </w: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bookmarkStart w:id="43" w:name="_Toc15396610"/>
      <w:bookmarkStart w:id="44" w:name="_Toc15377218"/>
    </w:p>
    <w:p w14:paraId="2955294E">
      <w:pPr>
        <w:keepNext w:val="0"/>
        <w:keepLines w:val="0"/>
        <w:pageBreakBefore w:val="0"/>
        <w:widowControl w:val="0"/>
        <w:kinsoku/>
        <w:wordWrap/>
        <w:overflowPunct/>
        <w:topLinePunct w:val="0"/>
        <w:bidi w:val="0"/>
        <w:spacing w:line="600" w:lineRule="exact"/>
        <w:ind w:firstLine="640"/>
        <w:textAlignment w:val="auto"/>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3"/>
      <w:bookmarkEnd w:id="44"/>
    </w:p>
    <w:p w14:paraId="421191ED">
      <w:pPr>
        <w:keepNext w:val="0"/>
        <w:keepLines w:val="0"/>
        <w:pageBreakBefore w:val="0"/>
        <w:widowControl w:val="0"/>
        <w:kinsoku/>
        <w:wordWrap/>
        <w:overflowPunct/>
        <w:topLinePunct w:val="0"/>
        <w:bidi w:val="0"/>
        <w:spacing w:line="600" w:lineRule="exact"/>
        <w:ind w:firstLine="640"/>
        <w:textAlignment w:val="auto"/>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A5D5AE7">
      <w:pPr>
        <w:keepNext w:val="0"/>
        <w:keepLines w:val="0"/>
        <w:pageBreakBefore w:val="0"/>
        <w:widowControl w:val="0"/>
        <w:numPr>
          <w:ilvl w:val="0"/>
          <w:numId w:val="2"/>
        </w:numPr>
        <w:kinsoku/>
        <w:wordWrap/>
        <w:overflowPunct/>
        <w:topLinePunct w:val="0"/>
        <w:bidi w:val="0"/>
        <w:spacing w:line="600" w:lineRule="exact"/>
        <w:ind w:firstLine="640"/>
        <w:textAlignment w:val="auto"/>
        <w:outlineLvl w:val="1"/>
        <w:rPr>
          <w:rStyle w:val="27"/>
          <w:rFonts w:ascii="黑体" w:hAnsi="黑体" w:eastAsia="黑体"/>
          <w:b w:val="0"/>
        </w:rPr>
      </w:pPr>
      <w:bookmarkStart w:id="45" w:name="_Toc15396611"/>
      <w:bookmarkStart w:id="46" w:name="_Toc15377219"/>
      <w:r>
        <w:rPr>
          <w:rStyle w:val="27"/>
          <w:rFonts w:hint="eastAsia" w:ascii="黑体" w:hAnsi="黑体" w:eastAsia="黑体"/>
          <w:b w:val="0"/>
        </w:rPr>
        <w:t>国有资本经营预算支出决算情况说明</w:t>
      </w:r>
      <w:bookmarkEnd w:id="45"/>
      <w:bookmarkEnd w:id="46"/>
    </w:p>
    <w:p w14:paraId="185EF32F">
      <w:pPr>
        <w:keepNext w:val="0"/>
        <w:keepLines w:val="0"/>
        <w:pageBreakBefore w:val="0"/>
        <w:widowControl w:val="0"/>
        <w:kinsoku/>
        <w:wordWrap/>
        <w:overflowPunct/>
        <w:topLinePunct w:val="0"/>
        <w:bidi w:val="0"/>
        <w:spacing w:line="600" w:lineRule="exact"/>
        <w:ind w:firstLine="640"/>
        <w:textAlignment w:val="auto"/>
        <w:rPr>
          <w:rFonts w:hint="eastAsia"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06D20FE">
      <w:pPr>
        <w:pStyle w:val="31"/>
        <w:keepNext w:val="0"/>
        <w:keepLines w:val="0"/>
        <w:pageBreakBefore w:val="0"/>
        <w:widowControl w:val="0"/>
        <w:numPr>
          <w:ilvl w:val="0"/>
          <w:numId w:val="0"/>
        </w:numPr>
        <w:kinsoku/>
        <w:wordWrap/>
        <w:overflowPunct/>
        <w:topLinePunct w:val="0"/>
        <w:bidi w:val="0"/>
        <w:spacing w:line="600" w:lineRule="exact"/>
        <w:ind w:left="709" w:leftChars="0"/>
        <w:textAlignment w:val="auto"/>
        <w:rPr>
          <w:rFonts w:ascii="仿宋" w:hAnsi="仿宋" w:eastAsia="仿宋" w:cs="楷体_GB2312"/>
          <w:b/>
          <w:bCs/>
          <w:sz w:val="32"/>
          <w:szCs w:val="32"/>
        </w:rPr>
      </w:pPr>
      <w:bookmarkStart w:id="47" w:name="_Toc15377221"/>
      <w:bookmarkStart w:id="48" w:name="_Toc15396612"/>
      <w:r>
        <w:rPr>
          <w:rStyle w:val="27"/>
          <w:rFonts w:hint="eastAsia" w:ascii="黑体" w:hAnsi="黑体" w:eastAsia="黑体" w:cs="黑体"/>
          <w:b w:val="0"/>
          <w:lang w:val="en-US" w:eastAsia="zh-CN"/>
        </w:rPr>
        <w:t>十、</w:t>
      </w:r>
      <w:r>
        <w:rPr>
          <w:rStyle w:val="27"/>
          <w:rFonts w:hint="eastAsia" w:ascii="黑体" w:hAnsi="黑体" w:eastAsia="黑体" w:cs="黑体"/>
          <w:b w:val="0"/>
        </w:rPr>
        <w:t>预算绩效情况说明</w:t>
      </w:r>
    </w:p>
    <w:p w14:paraId="76864582">
      <w:pPr>
        <w:keepNext w:val="0"/>
        <w:keepLines w:val="0"/>
        <w:pageBreakBefore w:val="0"/>
        <w:widowControl w:val="0"/>
        <w:kinsoku/>
        <w:wordWrap/>
        <w:overflowPunct/>
        <w:topLinePunct w:val="0"/>
        <w:bidi w:val="0"/>
        <w:spacing w:line="600" w:lineRule="exact"/>
        <w:textAlignment w:val="auto"/>
        <w:rPr>
          <w:rFonts w:ascii="仿宋" w:hAnsi="仿宋" w:eastAsia="仿宋" w:cs="楷体_GB2312"/>
          <w:b/>
          <w:bCs/>
          <w:sz w:val="32"/>
          <w:szCs w:val="32"/>
        </w:rPr>
      </w:pPr>
      <w:r>
        <w:rPr>
          <w:rFonts w:hint="eastAsia" w:ascii="仿宋" w:hAnsi="仿宋" w:eastAsia="仿宋" w:cs="楷体_GB2312"/>
          <w:b/>
          <w:bCs/>
          <w:sz w:val="32"/>
          <w:szCs w:val="32"/>
        </w:rPr>
        <w:t xml:space="preserve">    （一）预算绩效管理工作开展情况。</w:t>
      </w:r>
    </w:p>
    <w:p w14:paraId="57E07F6C">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eastAsia="zh-CN"/>
        </w:rPr>
        <w:t>以及本级财政部门安排要求</w:t>
      </w: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未进行项目</w:t>
      </w:r>
      <w:r>
        <w:rPr>
          <w:rFonts w:hint="eastAsia" w:ascii="仿宋_GB2312" w:hAnsi="仿宋_GB2312" w:eastAsia="仿宋_GB2312" w:cs="仿宋_GB2312"/>
          <w:sz w:val="32"/>
          <w:szCs w:val="32"/>
        </w:rPr>
        <w:t>预算绩效</w:t>
      </w:r>
      <w:r>
        <w:rPr>
          <w:rFonts w:hint="eastAsia" w:ascii="仿宋_GB2312" w:hAnsi="仿宋_GB2312" w:eastAsia="仿宋_GB2312" w:cs="仿宋_GB2312"/>
          <w:sz w:val="32"/>
          <w:szCs w:val="32"/>
          <w:lang w:eastAsia="zh-CN"/>
        </w:rPr>
        <w:t>编制</w:t>
      </w:r>
      <w:r>
        <w:rPr>
          <w:rFonts w:hint="eastAsia" w:ascii="仿宋_GB2312" w:hAnsi="仿宋_GB2312" w:eastAsia="仿宋_GB2312" w:cs="仿宋_GB2312"/>
          <w:sz w:val="32"/>
          <w:szCs w:val="32"/>
        </w:rPr>
        <w:t>。</w:t>
      </w:r>
    </w:p>
    <w:p w14:paraId="542309EB">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绩效自评，从评价情况来看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bidi="ar-SA"/>
        </w:rPr>
        <w:t>根据</w:t>
      </w:r>
      <w:r>
        <w:rPr>
          <w:rFonts w:hint="eastAsia" w:ascii="仿宋_GB2312" w:hAnsi="仿宋_GB2312" w:eastAsia="仿宋_GB2312" w:cs="仿宋_GB2312"/>
          <w:color w:val="000000"/>
          <w:kern w:val="0"/>
          <w:sz w:val="32"/>
          <w:szCs w:val="32"/>
          <w:shd w:val="clear" w:color="auto" w:fill="FFFFFF"/>
          <w:lang w:val="en-US" w:eastAsia="zh-CN" w:bidi="ar-SA"/>
        </w:rPr>
        <w:t>支出绩效评价指标，结合单位全年工作完成情况，基本做到了财政资金“无浪费、无挤占、无违规”,总体情况较好。</w:t>
      </w:r>
    </w:p>
    <w:p w14:paraId="5DB9825B">
      <w:pPr>
        <w:keepNext w:val="0"/>
        <w:keepLines w:val="0"/>
        <w:pageBreakBefore w:val="0"/>
        <w:widowControl w:val="0"/>
        <w:kinsoku/>
        <w:wordWrap/>
        <w:overflowPunct/>
        <w:topLinePunct w:val="0"/>
        <w:bidi w:val="0"/>
        <w:spacing w:line="600" w:lineRule="exact"/>
        <w:ind w:firstLine="640"/>
        <w:textAlignment w:val="auto"/>
        <w:rPr>
          <w:rFonts w:ascii="仿宋_GB2312" w:hAnsi="仿宋_GB2312" w:eastAsia="仿宋_GB2312" w:cs="仿宋_GB2312"/>
          <w:sz w:val="32"/>
          <w:szCs w:val="32"/>
        </w:rPr>
      </w:pPr>
      <w:r>
        <w:rPr>
          <w:rFonts w:hint="eastAsia" w:ascii="仿宋" w:hAnsi="仿宋" w:eastAsia="仿宋" w:cs="楷体_GB2312"/>
          <w:b/>
          <w:bCs/>
          <w:sz w:val="32"/>
          <w:szCs w:val="32"/>
        </w:rPr>
        <w:t>（二）部门开展绩效评价结果。</w:t>
      </w:r>
    </w:p>
    <w:p w14:paraId="41E51364">
      <w:pPr>
        <w:keepNext w:val="0"/>
        <w:keepLines w:val="0"/>
        <w:pageBreakBefore w:val="0"/>
        <w:widowControl w:val="0"/>
        <w:kinsoku/>
        <w:wordWrap/>
        <w:overflowPunct/>
        <w:topLinePunct w:val="0"/>
        <w:bidi w:val="0"/>
        <w:spacing w:line="600" w:lineRule="exact"/>
        <w:ind w:firstLine="640" w:firstLineChars="200"/>
        <w:textAlignment w:val="auto"/>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val="en-US" w:eastAsia="zh-CN"/>
        </w:rPr>
        <w:t>广安市前锋区人民法院</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年部门整体支出绩效评价报告》见附件。</w:t>
      </w:r>
    </w:p>
    <w:p w14:paraId="27F39807">
      <w:pPr>
        <w:keepNext w:val="0"/>
        <w:keepLines w:val="0"/>
        <w:pageBreakBefore w:val="0"/>
        <w:widowControl w:val="0"/>
        <w:kinsoku/>
        <w:wordWrap/>
        <w:overflowPunct/>
        <w:topLinePunct w:val="0"/>
        <w:bidi w:val="0"/>
        <w:spacing w:line="600" w:lineRule="exact"/>
        <w:ind w:firstLine="800" w:firstLineChars="250"/>
        <w:textAlignment w:val="auto"/>
        <w:outlineLvl w:val="1"/>
        <w:rPr>
          <w:rStyle w:val="27"/>
          <w:rFonts w:ascii="黑体" w:hAnsi="黑体" w:eastAsia="黑体"/>
        </w:rPr>
      </w:pPr>
      <w:r>
        <w:rPr>
          <w:rFonts w:hint="eastAsia" w:ascii="黑体" w:hAnsi="黑体" w:eastAsia="黑体"/>
          <w:color w:val="000000"/>
          <w:sz w:val="32"/>
          <w:szCs w:val="32"/>
        </w:rPr>
        <w:t>十</w:t>
      </w:r>
      <w:r>
        <w:rPr>
          <w:rStyle w:val="27"/>
          <w:rFonts w:hint="eastAsia" w:ascii="黑体" w:hAnsi="黑体" w:eastAsia="黑体"/>
        </w:rPr>
        <w:t>一、</w:t>
      </w:r>
      <w:r>
        <w:rPr>
          <w:rStyle w:val="27"/>
          <w:rFonts w:hint="eastAsia" w:ascii="黑体" w:hAnsi="黑体" w:eastAsia="黑体"/>
          <w:b w:val="0"/>
        </w:rPr>
        <w:t>其他重要事项的情况说明</w:t>
      </w:r>
      <w:bookmarkEnd w:id="47"/>
      <w:bookmarkEnd w:id="48"/>
    </w:p>
    <w:p w14:paraId="5DA1C93E">
      <w:pPr>
        <w:keepNext w:val="0"/>
        <w:keepLines w:val="0"/>
        <w:pageBreakBefore w:val="0"/>
        <w:widowControl w:val="0"/>
        <w:kinsoku/>
        <w:wordWrap/>
        <w:overflowPunct/>
        <w:topLinePunct w:val="0"/>
        <w:bidi w:val="0"/>
        <w:spacing w:line="600" w:lineRule="exact"/>
        <w:ind w:firstLine="643" w:firstLineChars="200"/>
        <w:textAlignment w:val="auto"/>
        <w:outlineLvl w:val="2"/>
        <w:rPr>
          <w:rFonts w:ascii="仿宋" w:hAnsi="仿宋" w:eastAsia="仿宋"/>
          <w:color w:val="000000"/>
          <w:sz w:val="32"/>
          <w:szCs w:val="32"/>
        </w:rPr>
      </w:pPr>
      <w:bookmarkStart w:id="49" w:name="_Toc15377222"/>
      <w:r>
        <w:rPr>
          <w:rFonts w:hint="eastAsia" w:ascii="仿宋" w:hAnsi="仿宋" w:eastAsia="仿宋"/>
          <w:b/>
          <w:color w:val="000000"/>
          <w:sz w:val="32"/>
          <w:szCs w:val="32"/>
        </w:rPr>
        <w:t>（一）机关运行经费支出情况</w:t>
      </w:r>
      <w:bookmarkEnd w:id="49"/>
    </w:p>
    <w:p w14:paraId="0F813EE2">
      <w:pPr>
        <w:keepNext w:val="0"/>
        <w:keepLines w:val="0"/>
        <w:pageBreakBefore w:val="0"/>
        <w:widowControl w:val="0"/>
        <w:kinsoku/>
        <w:wordWrap/>
        <w:overflowPunct/>
        <w:topLinePunct w:val="0"/>
        <w:bidi w:val="0"/>
        <w:spacing w:line="600" w:lineRule="exact"/>
        <w:ind w:firstLine="640" w:firstLineChars="200"/>
        <w:textAlignment w:val="auto"/>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广安市前锋区</w:t>
      </w:r>
      <w:r>
        <w:rPr>
          <w:rFonts w:hint="eastAsia" w:ascii="仿宋_GB2312" w:eastAsia="仿宋_GB2312"/>
          <w:color w:val="000000"/>
          <w:sz w:val="32"/>
          <w:szCs w:val="32"/>
          <w:lang w:val="en-US" w:eastAsia="zh-CN"/>
        </w:rPr>
        <w:t>人民</w:t>
      </w:r>
      <w:r>
        <w:rPr>
          <w:rFonts w:hint="eastAsia" w:ascii="仿宋_GB2312" w:eastAsia="仿宋_GB2312"/>
          <w:color w:val="000000" w:themeColor="text1"/>
          <w:sz w:val="32"/>
          <w:szCs w:val="32"/>
          <w:lang w:val="en-US" w:eastAsia="zh-CN"/>
        </w:rPr>
        <w:t>法院</w:t>
      </w:r>
      <w:r>
        <w:rPr>
          <w:rFonts w:hint="eastAsia" w:ascii="仿宋_GB2312" w:eastAsia="仿宋_GB2312"/>
          <w:color w:val="000000"/>
          <w:sz w:val="32"/>
          <w:szCs w:val="32"/>
        </w:rPr>
        <w:t>机关运行经费支出338.6</w:t>
      </w:r>
      <w:r>
        <w:rPr>
          <w:rFonts w:hint="eastAsia" w:ascii="仿宋_GB2312" w:eastAsia="仿宋_GB2312"/>
          <w:color w:val="000000"/>
          <w:sz w:val="32"/>
          <w:szCs w:val="32"/>
          <w:lang w:val="en-US" w:eastAsia="zh-CN"/>
        </w:rPr>
        <w:t>7</w:t>
      </w:r>
      <w:r>
        <w:rPr>
          <w:rFonts w:hint="eastAsia" w:ascii="仿宋_GB2312" w:eastAsia="仿宋_GB2312"/>
          <w:color w:val="000000" w:themeColor="text1"/>
          <w:sz w:val="32"/>
          <w:szCs w:val="32"/>
        </w:rPr>
        <w:t>万元，比</w:t>
      </w:r>
      <w:r>
        <w:rPr>
          <w:rFonts w:ascii="仿宋_GB2312" w:eastAsia="仿宋_GB2312"/>
          <w:color w:val="000000" w:themeColor="text1"/>
          <w:sz w:val="32"/>
          <w:szCs w:val="32"/>
        </w:rPr>
        <w:t>201</w:t>
      </w:r>
      <w:r>
        <w:rPr>
          <w:rFonts w:hint="eastAsia" w:ascii="仿宋_GB2312" w:eastAsia="仿宋_GB2312"/>
          <w:color w:val="000000" w:themeColor="text1"/>
          <w:sz w:val="32"/>
          <w:szCs w:val="32"/>
          <w:lang w:val="en-US" w:eastAsia="zh-CN"/>
        </w:rPr>
        <w:t>8</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val="en-US" w:eastAsia="zh-CN"/>
        </w:rPr>
        <w:t>增加216.1</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减少</w:t>
      </w:r>
      <w:r>
        <w:rPr>
          <w:rFonts w:hint="eastAsia" w:ascii="仿宋_GB2312" w:eastAsia="仿宋_GB2312"/>
          <w:color w:val="000000" w:themeColor="text1"/>
          <w:sz w:val="32"/>
          <w:szCs w:val="32"/>
          <w:lang w:val="en-US" w:eastAsia="zh-CN"/>
        </w:rPr>
        <w:t>63.81%</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搬办公楼后</w:t>
      </w:r>
      <w:r>
        <w:rPr>
          <w:rFonts w:hint="eastAsia" w:ascii="仿宋_GB2312" w:eastAsia="仿宋_GB2312"/>
          <w:color w:val="000000" w:themeColor="text1"/>
          <w:sz w:val="32"/>
          <w:szCs w:val="32"/>
          <w:lang w:val="en-US" w:eastAsia="zh-CN"/>
        </w:rPr>
        <w:t>自建食堂及启用中央空调导致</w:t>
      </w:r>
      <w:r>
        <w:rPr>
          <w:rFonts w:hint="eastAsia" w:ascii="仿宋_GB2312" w:eastAsia="仿宋_GB2312"/>
          <w:color w:val="000000" w:themeColor="text1"/>
          <w:sz w:val="32"/>
          <w:szCs w:val="32"/>
          <w:lang w:eastAsia="zh-CN"/>
        </w:rPr>
        <w:t>水电食堂运营成本增加。</w:t>
      </w:r>
    </w:p>
    <w:p w14:paraId="1A6B26A4">
      <w:pPr>
        <w:keepNext w:val="0"/>
        <w:keepLines w:val="0"/>
        <w:pageBreakBefore w:val="0"/>
        <w:widowControl w:val="0"/>
        <w:kinsoku/>
        <w:wordWrap/>
        <w:overflowPunct/>
        <w:topLinePunct w:val="0"/>
        <w:autoSpaceDE w:val="0"/>
        <w:autoSpaceDN w:val="0"/>
        <w:bidi w:val="0"/>
        <w:adjustRightInd w:val="0"/>
        <w:spacing w:line="600" w:lineRule="exact"/>
        <w:ind w:firstLine="643" w:firstLineChars="200"/>
        <w:jc w:val="left"/>
        <w:textAlignment w:val="auto"/>
        <w:outlineLvl w:val="2"/>
        <w:rPr>
          <w:rFonts w:ascii="仿宋" w:hAnsi="仿宋" w:eastAsia="仿宋"/>
          <w:b/>
          <w:color w:val="000000"/>
          <w:sz w:val="32"/>
          <w:szCs w:val="32"/>
        </w:rPr>
      </w:pPr>
      <w:bookmarkStart w:id="50" w:name="_Toc15377223"/>
      <w:r>
        <w:rPr>
          <w:rFonts w:hint="eastAsia" w:ascii="仿宋" w:hAnsi="仿宋" w:eastAsia="仿宋"/>
          <w:b/>
          <w:color w:val="000000"/>
          <w:sz w:val="32"/>
          <w:szCs w:val="32"/>
        </w:rPr>
        <w:t>（二）政府采购支出情况</w:t>
      </w:r>
      <w:bookmarkEnd w:id="50"/>
    </w:p>
    <w:p w14:paraId="472D2585">
      <w:pPr>
        <w:keepNext w:val="0"/>
        <w:keepLines w:val="0"/>
        <w:pageBreakBefore w:val="0"/>
        <w:widowControl w:val="0"/>
        <w:kinsoku/>
        <w:wordWrap/>
        <w:overflowPunct/>
        <w:topLinePunct w:val="0"/>
        <w:bidi w:val="0"/>
        <w:spacing w:line="60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广安市前锋区</w:t>
      </w:r>
      <w:r>
        <w:rPr>
          <w:rFonts w:hint="eastAsia" w:ascii="仿宋_GB2312" w:eastAsia="仿宋_GB2312"/>
          <w:color w:val="000000"/>
          <w:sz w:val="32"/>
          <w:szCs w:val="32"/>
          <w:lang w:val="en-US" w:eastAsia="zh-CN"/>
        </w:rPr>
        <w:t>人民法院</w:t>
      </w:r>
      <w:r>
        <w:rPr>
          <w:rFonts w:hint="eastAsia" w:ascii="仿宋_GB2312" w:eastAsia="仿宋_GB2312"/>
          <w:color w:val="000000"/>
          <w:sz w:val="32"/>
          <w:szCs w:val="32"/>
        </w:rPr>
        <w:t>政府采购支出总额58</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4</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万元，其中：政府采购货物支出34</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8</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23.59</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采购办公设备及经开区法庭后续工程</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F703577">
      <w:pPr>
        <w:keepNext w:val="0"/>
        <w:keepLines w:val="0"/>
        <w:pageBreakBefore w:val="0"/>
        <w:widowControl w:val="0"/>
        <w:kinsoku/>
        <w:wordWrap/>
        <w:overflowPunct/>
        <w:topLinePunct w:val="0"/>
        <w:autoSpaceDE w:val="0"/>
        <w:autoSpaceDN w:val="0"/>
        <w:bidi w:val="0"/>
        <w:adjustRightInd w:val="0"/>
        <w:spacing w:line="600" w:lineRule="exact"/>
        <w:ind w:firstLine="643" w:firstLineChars="200"/>
        <w:jc w:val="left"/>
        <w:textAlignment w:val="auto"/>
        <w:outlineLvl w:val="2"/>
        <w:rPr>
          <w:rFonts w:ascii="仿宋" w:hAnsi="仿宋" w:eastAsia="仿宋"/>
          <w:b/>
          <w:color w:val="000000"/>
          <w:sz w:val="32"/>
          <w:szCs w:val="32"/>
        </w:rPr>
      </w:pPr>
      <w:bookmarkStart w:id="51" w:name="_Toc15377224"/>
      <w:r>
        <w:rPr>
          <w:rFonts w:hint="eastAsia" w:ascii="仿宋" w:hAnsi="仿宋" w:eastAsia="仿宋"/>
          <w:b/>
          <w:color w:val="000000"/>
          <w:sz w:val="32"/>
          <w:szCs w:val="32"/>
        </w:rPr>
        <w:t>（三）国有资产占有使用情况</w:t>
      </w:r>
      <w:bookmarkEnd w:id="51"/>
    </w:p>
    <w:p w14:paraId="7394B7D4">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广安市前锋区</w:t>
      </w:r>
      <w:r>
        <w:rPr>
          <w:rFonts w:hint="eastAsia" w:ascii="仿宋_GB2312" w:eastAsia="仿宋_GB2312"/>
          <w:color w:val="000000"/>
          <w:sz w:val="32"/>
          <w:szCs w:val="32"/>
          <w:lang w:val="en-US" w:eastAsia="zh-CN"/>
        </w:rPr>
        <w:t>人民法院</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其中：部级领导干部用车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辆、特种专业技术用车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5180C2C7">
      <w:pPr>
        <w:spacing w:line="600" w:lineRule="atLeast"/>
        <w:ind w:firstLine="643" w:firstLineChars="200"/>
        <w:rPr>
          <w:rFonts w:ascii="仿宋_GB2312" w:eastAsia="仿宋_GB2312"/>
          <w:b/>
          <w:color w:val="000000"/>
          <w:sz w:val="32"/>
          <w:szCs w:val="32"/>
        </w:rPr>
      </w:pPr>
    </w:p>
    <w:p w14:paraId="7DCC1C9B">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3EE6ECE1">
      <w:pPr>
        <w:numPr>
          <w:ilvl w:val="0"/>
          <w:numId w:val="3"/>
        </w:numPr>
        <w:spacing w:line="600" w:lineRule="exact"/>
        <w:ind w:firstLine="663" w:firstLineChars="150"/>
        <w:jc w:val="center"/>
        <w:outlineLvl w:val="0"/>
        <w:rPr>
          <w:rStyle w:val="26"/>
          <w:rFonts w:ascii="黑体" w:hAnsi="黑体" w:eastAsia="黑体"/>
          <w:b w:val="0"/>
        </w:rPr>
      </w:pPr>
      <w:bookmarkStart w:id="52" w:name="_Toc15377225"/>
      <w:bookmarkStart w:id="53" w:name="_Toc15396613"/>
      <w:r>
        <w:rPr>
          <w:rFonts w:hint="eastAsia" w:ascii="黑体" w:hAnsi="黑体" w:eastAsia="黑体"/>
          <w:b/>
          <w:color w:val="000000"/>
          <w:sz w:val="44"/>
          <w:szCs w:val="44"/>
        </w:rPr>
        <w:t>名</w:t>
      </w:r>
      <w:r>
        <w:rPr>
          <w:rStyle w:val="26"/>
          <w:rFonts w:hint="eastAsia" w:ascii="黑体" w:hAnsi="黑体" w:eastAsia="黑体"/>
          <w:b w:val="0"/>
        </w:rPr>
        <w:t>词解释</w:t>
      </w:r>
      <w:bookmarkEnd w:id="52"/>
      <w:bookmarkEnd w:id="53"/>
    </w:p>
    <w:p w14:paraId="087D932F">
      <w:pPr>
        <w:spacing w:line="600" w:lineRule="exact"/>
        <w:jc w:val="left"/>
        <w:rPr>
          <w:rFonts w:ascii="宋体"/>
          <w:b/>
          <w:color w:val="000000"/>
          <w:sz w:val="44"/>
          <w:szCs w:val="44"/>
        </w:rPr>
      </w:pPr>
    </w:p>
    <w:p w14:paraId="0647244F">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17ABF9F1">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647DED08">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4DDBF11D">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4.其他收入：指单位取得的除上述收入以外的各项收入。</w:t>
      </w:r>
    </w:p>
    <w:p w14:paraId="23BCBA3E">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692FA002">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14:paraId="39721096">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14:paraId="355596E8">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7DDD34E7">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 公共安全(类)法院(款)行政运行(项)：指反映法院(包括各专门法院)的基本支出。</w:t>
      </w:r>
    </w:p>
    <w:p w14:paraId="01A5C969">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公共安全(类)法院(款)一般行政管理事务(项)：指反映法院(包括各专门法院)未单独设置项级科目的其他项目支出。</w:t>
      </w:r>
    </w:p>
    <w:p w14:paraId="3345A325">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公共安全(类)法院(款)其他法院支出(项)：指反映除上述项目以外其他用于法院方面的支出。</w:t>
      </w:r>
    </w:p>
    <w:p w14:paraId="406584FC">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 社会保障和就业(类)行政事业单位离退休(款)机关事业单位基本养老保险缴费支出(项)：指反映机关事业单位实施养老保险制度由单位缴纳的基本养老保险费支出。</w:t>
      </w:r>
    </w:p>
    <w:p w14:paraId="2B5FB91D">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 医疗卫生与计划生育(类)医疗保障(款)行政单位医疗(项)：指反映财政部门集中安排的行政单位基本医疗保险缴费经费，未参加医疗保险的行政单位的公费医疗经费，按国家规定享受离休人员、红军老战士待遇人员的医疗经费。</w:t>
      </w:r>
    </w:p>
    <w:p w14:paraId="6FEA6F37">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医疗卫生与计划生育(类)医疗保障(款)公务员医疗补助(项)：指反映财政部门集中安排的公务员医疗补助经费。</w:t>
      </w:r>
    </w:p>
    <w:p w14:paraId="359F7ABC">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医疗卫生与计划生育(类)医疗保障(款)其他医疗保障支出(项)：指反映除上述项目以外其他用于医疗保障方面的支出。</w:t>
      </w:r>
    </w:p>
    <w:p w14:paraId="1C2D0519">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 城乡社区支出(类)国在土地使用权出让收入及对应专项债务收入安排的支出(款)征地和拆迁补偿支出(项)：指反映地方人民政府在征地和收购土地过程中支付的土地补偿费、安置补助费、地上附着和青苗补偿费、拆迁补偿费支出。</w:t>
      </w:r>
    </w:p>
    <w:p w14:paraId="261AD7F5">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13. 住房保障支出(类)住房改革支出(款)住房公积金(项)：指反映行政事业单位按人力资源和社会保障部、财政部规定的基本工资和津贴补贴以及规定比例为职工缴纳的住房公积金。。</w:t>
      </w:r>
    </w:p>
    <w:p w14:paraId="47CFCF3D">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14.基本支出：指为保障机构正常运转、完成日常工作任务而发生的人员支出和公用支出。</w:t>
      </w:r>
    </w:p>
    <w:p w14:paraId="788FC26E">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15.项目支出：指在基本支出之外为完成特定行政任务和事业发展目标所发生的支出。</w:t>
      </w:r>
    </w:p>
    <w:p w14:paraId="00D65D98">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16.经营支出：指事业单位在专业业务活动及其辅助活动之外开展非独立核算经营活动发生的支出。</w:t>
      </w:r>
    </w:p>
    <w:p w14:paraId="3A5AE23A">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B32687C">
      <w:pPr>
        <w:ind w:firstLine="640" w:firstLineChars="200"/>
        <w:rPr>
          <w:rFonts w:ascii="仿宋" w:hAnsi="仿宋" w:eastAsia="仿宋"/>
          <w:b/>
          <w:color w:val="C00000"/>
          <w:sz w:val="32"/>
          <w:szCs w:val="32"/>
        </w:rPr>
      </w:pPr>
      <w:r>
        <w:rPr>
          <w:rFonts w:hint="eastAsia" w:ascii="仿宋_GB2312" w:eastAsia="仿宋_GB2312"/>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2D7F66">
      <w:pPr>
        <w:spacing w:line="600" w:lineRule="exact"/>
        <w:jc w:val="center"/>
        <w:outlineLvl w:val="0"/>
        <w:rPr>
          <w:rStyle w:val="26"/>
          <w:rFonts w:hint="eastAsia" w:ascii="黑体" w:hAnsi="黑体" w:eastAsia="黑体"/>
          <w:b w:val="0"/>
        </w:rPr>
      </w:pPr>
      <w:bookmarkStart w:id="54" w:name="_Toc15377226"/>
      <w:r>
        <w:rPr>
          <w:rFonts w:ascii="宋体"/>
          <w:b/>
          <w:color w:val="000000"/>
          <w:sz w:val="44"/>
          <w:szCs w:val="44"/>
        </w:rPr>
        <w:br w:type="page"/>
      </w:r>
      <w:bookmarkStart w:id="55"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55"/>
    </w:p>
    <w:p w14:paraId="6F7A4327">
      <w:pPr>
        <w:pStyle w:val="2"/>
        <w:rPr>
          <w:rStyle w:val="26"/>
          <w:rFonts w:hint="eastAsia" w:ascii="黑体" w:hAnsi="黑体" w:eastAsia="黑体"/>
          <w:b w:val="0"/>
        </w:rPr>
      </w:pPr>
    </w:p>
    <w:p w14:paraId="1BABBFC8">
      <w:pPr>
        <w:spacing w:line="600" w:lineRule="exact"/>
        <w:jc w:val="center"/>
        <w:outlineLvl w:val="0"/>
        <w:rPr>
          <w:rFonts w:hint="eastAsia" w:ascii="黑体" w:hAnsi="黑体" w:eastAsia="黑体" w:cs="方正小标宋简体"/>
          <w:sz w:val="36"/>
          <w:szCs w:val="36"/>
          <w:lang w:val="en-US" w:eastAsia="zh-CN"/>
        </w:rPr>
      </w:pPr>
      <w:bookmarkStart w:id="56" w:name="_Toc15396616"/>
      <w:r>
        <w:rPr>
          <w:rFonts w:hint="eastAsia" w:ascii="黑体" w:hAnsi="黑体" w:eastAsia="黑体" w:cs="方正小标宋简体"/>
          <w:sz w:val="36"/>
          <w:szCs w:val="36"/>
          <w:lang w:val="en-US" w:eastAsia="zh-CN"/>
        </w:rPr>
        <w:t>广安市前锋区人民法院</w:t>
      </w:r>
    </w:p>
    <w:p w14:paraId="734413B6">
      <w:pPr>
        <w:spacing w:line="600" w:lineRule="exact"/>
        <w:jc w:val="center"/>
        <w:outlineLvl w:val="0"/>
        <w:rPr>
          <w:rFonts w:hint="eastAsia" w:ascii="黑体" w:hAnsi="黑体" w:eastAsia="黑体" w:cs="方正小标宋简体"/>
          <w:sz w:val="36"/>
          <w:szCs w:val="36"/>
        </w:rPr>
      </w:pPr>
      <w:r>
        <w:rPr>
          <w:rFonts w:hint="eastAsia" w:ascii="黑体" w:hAnsi="黑体" w:eastAsia="黑体" w:cs="方正小标宋简体"/>
          <w:sz w:val="36"/>
          <w:szCs w:val="36"/>
        </w:rPr>
        <w:t>2019年部门整体支出绩效评价报告</w:t>
      </w:r>
      <w:bookmarkEnd w:id="56"/>
    </w:p>
    <w:p w14:paraId="4A365A3B">
      <w:pPr>
        <w:pStyle w:val="2"/>
        <w:rPr>
          <w:rFonts w:hint="eastAsia" w:ascii="黑体" w:hAnsi="黑体" w:eastAsia="黑体" w:cs="方正小标宋简体"/>
          <w:sz w:val="36"/>
          <w:szCs w:val="36"/>
        </w:rPr>
      </w:pPr>
    </w:p>
    <w:p w14:paraId="03B96C1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区财政局：</w:t>
      </w:r>
    </w:p>
    <w:p w14:paraId="7D0093D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80"/>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根据文件要求，我单位认真总结了201</w:t>
      </w:r>
      <w:r>
        <w:rPr>
          <w:rFonts w:hint="eastAsia" w:ascii="方正仿宋_GBK" w:hAnsi="方正仿宋_GBK" w:eastAsia="方正仿宋_GBK" w:cs="方正仿宋_GBK"/>
          <w:sz w:val="33"/>
          <w:szCs w:val="33"/>
          <w:lang w:val="en-US" w:eastAsia="zh-CN"/>
        </w:rPr>
        <w:t>9</w:t>
      </w:r>
      <w:r>
        <w:rPr>
          <w:rFonts w:hint="eastAsia" w:ascii="方正仿宋_GBK" w:hAnsi="方正仿宋_GBK" w:eastAsia="方正仿宋_GBK" w:cs="方正仿宋_GBK"/>
          <w:sz w:val="33"/>
          <w:szCs w:val="33"/>
        </w:rPr>
        <w:t>年财政预算资金使用情况，现将相关情况作如下汇报。</w:t>
      </w:r>
    </w:p>
    <w:p w14:paraId="21DF269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80" w:leftChars="0" w:right="0" w:rightChars="0"/>
        <w:textAlignment w:val="auto"/>
        <w:rPr>
          <w:rFonts w:hint="eastAsia" w:ascii="方正黑体_GBK" w:hAnsi="方正黑体_GBK" w:eastAsia="方正黑体_GBK" w:cs="方正黑体_GBK"/>
          <w:b w:val="0"/>
          <w:bCs w:val="0"/>
          <w:sz w:val="33"/>
          <w:szCs w:val="33"/>
        </w:rPr>
      </w:pPr>
      <w:r>
        <w:rPr>
          <w:rFonts w:hint="eastAsia" w:ascii="方正黑体_GBK" w:hAnsi="方正黑体_GBK" w:eastAsia="方正黑体_GBK" w:cs="方正黑体_GBK"/>
          <w:b w:val="0"/>
          <w:bCs w:val="0"/>
          <w:sz w:val="33"/>
          <w:szCs w:val="33"/>
          <w:lang w:eastAsia="zh-CN"/>
        </w:rPr>
        <w:t>一、</w:t>
      </w:r>
      <w:r>
        <w:rPr>
          <w:rFonts w:hint="eastAsia" w:ascii="方正黑体_GBK" w:hAnsi="方正黑体_GBK" w:eastAsia="方正黑体_GBK" w:cs="方正黑体_GBK"/>
          <w:b w:val="0"/>
          <w:bCs w:val="0"/>
          <w:sz w:val="33"/>
          <w:szCs w:val="33"/>
        </w:rPr>
        <w:t>单位概况</w:t>
      </w:r>
    </w:p>
    <w:p w14:paraId="7AB1426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80" w:leftChars="0" w:right="0" w:rightChars="0"/>
        <w:textAlignment w:val="auto"/>
        <w:rPr>
          <w:rFonts w:hint="eastAsia" w:ascii="方正楷体_GBK" w:hAnsi="方正楷体_GBK" w:eastAsia="方正楷体_GBK" w:cs="方正楷体_GBK"/>
          <w:b/>
          <w:bCs w:val="0"/>
          <w:sz w:val="33"/>
          <w:szCs w:val="33"/>
        </w:rPr>
      </w:pPr>
      <w:r>
        <w:rPr>
          <w:rFonts w:hint="eastAsia" w:ascii="方正楷体_GBK" w:hAnsi="方正楷体_GBK" w:eastAsia="方正楷体_GBK" w:cs="方正楷体_GBK"/>
          <w:b/>
          <w:bCs w:val="0"/>
          <w:sz w:val="33"/>
          <w:szCs w:val="33"/>
        </w:rPr>
        <w:t>（一）机构组成</w:t>
      </w:r>
    </w:p>
    <w:p w14:paraId="1D5A222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left"/>
        <w:textAlignment w:val="auto"/>
        <w:outlineLvl w:val="9"/>
        <w:rPr>
          <w:rFonts w:hint="eastAsia" w:ascii="方正仿宋_GBK" w:hAnsi="方正仿宋_GBK" w:eastAsia="方正仿宋_GBK" w:cs="方正仿宋_GBK"/>
          <w:color w:val="000000"/>
          <w:w w:val="100"/>
          <w:sz w:val="33"/>
          <w:szCs w:val="33"/>
          <w:highlight w:val="none"/>
          <w:lang w:val="en-US" w:eastAsia="zh-CN"/>
        </w:rPr>
      </w:pPr>
      <w:r>
        <w:rPr>
          <w:rFonts w:hint="eastAsia" w:ascii="方正仿宋_GBK" w:hAnsi="方正仿宋_GBK" w:eastAsia="方正仿宋_GBK" w:cs="方正仿宋_GBK"/>
          <w:color w:val="000000"/>
          <w:w w:val="100"/>
          <w:sz w:val="33"/>
          <w:szCs w:val="33"/>
          <w:highlight w:val="none"/>
          <w:lang w:val="en-US" w:eastAsia="zh-CN"/>
        </w:rPr>
        <w:t>广安市前锋区人民法院内设政治处、办公室、法警大队、刑事审判庭、民事审判第一庭、民事审判第二庭、行政审判庭、立案庭、诉讼服务中心、审判监督庭和执行局等11个机构，设立观阁人民法庭、前锋人民法庭、代市人民法庭和经济技术开发区人民法庭等4个派出机构。</w:t>
      </w:r>
    </w:p>
    <w:p w14:paraId="568ABB05">
      <w:pPr>
        <w:pStyle w:val="12"/>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63" w:firstLineChars="200"/>
        <w:jc w:val="both"/>
        <w:textAlignment w:val="auto"/>
        <w:rPr>
          <w:rFonts w:hint="eastAsia" w:ascii="方正楷体_GBK" w:hAnsi="方正楷体_GBK" w:eastAsia="方正楷体_GBK" w:cs="方正楷体_GBK"/>
          <w:b/>
          <w:bCs w:val="0"/>
          <w:kern w:val="2"/>
          <w:sz w:val="33"/>
          <w:szCs w:val="33"/>
        </w:rPr>
      </w:pPr>
      <w:r>
        <w:rPr>
          <w:rFonts w:hint="eastAsia" w:ascii="方正楷体_GBK" w:hAnsi="方正楷体_GBK" w:eastAsia="方正楷体_GBK" w:cs="方正楷体_GBK"/>
          <w:b/>
          <w:bCs w:val="0"/>
          <w:kern w:val="2"/>
          <w:sz w:val="33"/>
          <w:szCs w:val="33"/>
        </w:rPr>
        <w:t>（二）机构职能</w:t>
      </w:r>
    </w:p>
    <w:p w14:paraId="3C8AD43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left"/>
        <w:textAlignment w:val="auto"/>
        <w:outlineLvl w:val="9"/>
        <w:rPr>
          <w:rFonts w:hint="eastAsia" w:ascii="方正仿宋_GBK" w:hAnsi="方正仿宋_GBK" w:eastAsia="方正仿宋_GBK" w:cs="方正仿宋_GBK"/>
          <w:color w:val="000000"/>
          <w:w w:val="100"/>
          <w:sz w:val="33"/>
          <w:szCs w:val="33"/>
          <w:highlight w:val="none"/>
          <w:lang w:val="en-US" w:eastAsia="zh-CN"/>
        </w:rPr>
      </w:pPr>
      <w:r>
        <w:rPr>
          <w:rFonts w:hint="eastAsia" w:ascii="方正仿宋_GBK" w:hAnsi="方正仿宋_GBK" w:eastAsia="方正仿宋_GBK" w:cs="方正仿宋_GBK"/>
          <w:color w:val="000000"/>
          <w:w w:val="100"/>
          <w:sz w:val="33"/>
          <w:szCs w:val="33"/>
          <w:highlight w:val="none"/>
          <w:lang w:val="en-US" w:eastAsia="zh-CN"/>
        </w:rPr>
        <w:t>广安市前锋区人民法院是国家审判机关，指导本院各人民法庭的审判工作，对广安市前锋区人民代表大会及其常务委员会负责并报告工作，主要职责是：</w:t>
      </w:r>
    </w:p>
    <w:p w14:paraId="7741DDC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left"/>
        <w:textAlignment w:val="auto"/>
        <w:outlineLvl w:val="9"/>
        <w:rPr>
          <w:rFonts w:hint="eastAsia" w:ascii="方正仿宋_GBK" w:hAnsi="方正仿宋_GBK" w:eastAsia="方正仿宋_GBK" w:cs="方正仿宋_GBK"/>
          <w:color w:val="000000"/>
          <w:w w:val="100"/>
          <w:sz w:val="33"/>
          <w:szCs w:val="33"/>
          <w:highlight w:val="none"/>
          <w:lang w:val="en-US" w:eastAsia="zh-CN"/>
        </w:rPr>
      </w:pPr>
      <w:r>
        <w:rPr>
          <w:rFonts w:hint="eastAsia" w:ascii="方正仿宋_GBK" w:hAnsi="方正仿宋_GBK" w:eastAsia="方正仿宋_GBK" w:cs="方正仿宋_GBK"/>
          <w:color w:val="000000"/>
          <w:w w:val="100"/>
          <w:sz w:val="33"/>
          <w:szCs w:val="33"/>
          <w:highlight w:val="none"/>
          <w:lang w:val="en-US" w:eastAsia="zh-CN"/>
        </w:rPr>
        <w:t>一是依法审判管辖内的刑事、民事、行政等第一审案件。</w:t>
      </w:r>
    </w:p>
    <w:p w14:paraId="39FF72B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left"/>
        <w:textAlignment w:val="auto"/>
        <w:outlineLvl w:val="9"/>
        <w:rPr>
          <w:rFonts w:hint="eastAsia" w:ascii="方正仿宋_GBK" w:hAnsi="方正仿宋_GBK" w:eastAsia="方正仿宋_GBK" w:cs="方正仿宋_GBK"/>
          <w:color w:val="000000"/>
          <w:w w:val="100"/>
          <w:sz w:val="33"/>
          <w:szCs w:val="33"/>
          <w:highlight w:val="none"/>
          <w:lang w:val="en-US" w:eastAsia="zh-CN"/>
        </w:rPr>
      </w:pPr>
      <w:r>
        <w:rPr>
          <w:rFonts w:hint="eastAsia" w:ascii="方正仿宋_GBK" w:hAnsi="方正仿宋_GBK" w:eastAsia="方正仿宋_GBK" w:cs="方正仿宋_GBK"/>
          <w:color w:val="000000"/>
          <w:w w:val="100"/>
          <w:sz w:val="33"/>
          <w:szCs w:val="33"/>
          <w:highlight w:val="none"/>
          <w:lang w:val="en-US" w:eastAsia="zh-CN"/>
        </w:rPr>
        <w:t>二是依法审理广安市中级人民法院指令再审的案件。</w:t>
      </w:r>
    </w:p>
    <w:p w14:paraId="6AF83E4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left"/>
        <w:textAlignment w:val="auto"/>
        <w:outlineLvl w:val="9"/>
        <w:rPr>
          <w:rFonts w:hint="eastAsia" w:ascii="方正仿宋_GBK" w:hAnsi="方正仿宋_GBK" w:eastAsia="方正仿宋_GBK" w:cs="方正仿宋_GBK"/>
          <w:color w:val="000000"/>
          <w:w w:val="100"/>
          <w:sz w:val="33"/>
          <w:szCs w:val="33"/>
          <w:highlight w:val="none"/>
          <w:lang w:val="en-US" w:eastAsia="zh-CN"/>
        </w:rPr>
      </w:pPr>
      <w:r>
        <w:rPr>
          <w:rFonts w:hint="eastAsia" w:ascii="方正仿宋_GBK" w:hAnsi="方正仿宋_GBK" w:eastAsia="方正仿宋_GBK" w:cs="方正仿宋_GBK"/>
          <w:color w:val="000000"/>
          <w:w w:val="100"/>
          <w:sz w:val="33"/>
          <w:szCs w:val="33"/>
          <w:highlight w:val="none"/>
          <w:lang w:val="en-US" w:eastAsia="zh-CN"/>
        </w:rPr>
        <w:t>三是依法行使司法执行权和司法决定权。</w:t>
      </w:r>
    </w:p>
    <w:p w14:paraId="2E09CDD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left"/>
        <w:textAlignment w:val="auto"/>
        <w:outlineLvl w:val="9"/>
        <w:rPr>
          <w:rFonts w:hint="eastAsia" w:ascii="方正仿宋_GBK" w:hAnsi="方正仿宋_GBK" w:eastAsia="方正仿宋_GBK" w:cs="方正仿宋_GBK"/>
          <w:color w:val="000000"/>
          <w:w w:val="100"/>
          <w:sz w:val="33"/>
          <w:szCs w:val="33"/>
          <w:highlight w:val="none"/>
          <w:lang w:val="en-US" w:eastAsia="zh-CN"/>
        </w:rPr>
      </w:pPr>
      <w:r>
        <w:rPr>
          <w:rFonts w:hint="eastAsia" w:ascii="方正仿宋_GBK" w:hAnsi="方正仿宋_GBK" w:eastAsia="方正仿宋_GBK" w:cs="方正仿宋_GBK"/>
          <w:color w:val="000000"/>
          <w:w w:val="100"/>
          <w:sz w:val="33"/>
          <w:szCs w:val="33"/>
          <w:highlight w:val="none"/>
          <w:lang w:val="en-US" w:eastAsia="zh-CN"/>
        </w:rPr>
        <w:t>四是依法审理本院判决、裁定发生法律效力的提起再审的案件。</w:t>
      </w:r>
    </w:p>
    <w:p w14:paraId="5B708D8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left"/>
        <w:textAlignment w:val="auto"/>
        <w:outlineLvl w:val="9"/>
        <w:rPr>
          <w:rFonts w:hint="eastAsia" w:ascii="方正仿宋_GBK" w:hAnsi="方正仿宋_GBK" w:eastAsia="方正仿宋_GBK" w:cs="方正仿宋_GBK"/>
          <w:color w:val="000000"/>
          <w:w w:val="100"/>
          <w:sz w:val="33"/>
          <w:szCs w:val="33"/>
          <w:highlight w:val="none"/>
          <w:lang w:val="en-US" w:eastAsia="zh-CN"/>
        </w:rPr>
      </w:pPr>
      <w:r>
        <w:rPr>
          <w:rFonts w:hint="eastAsia" w:ascii="方正仿宋_GBK" w:hAnsi="方正仿宋_GBK" w:eastAsia="方正仿宋_GBK" w:cs="方正仿宋_GBK"/>
          <w:color w:val="000000"/>
          <w:w w:val="100"/>
          <w:sz w:val="33"/>
          <w:szCs w:val="33"/>
          <w:highlight w:val="none"/>
          <w:lang w:val="en-US" w:eastAsia="zh-CN"/>
        </w:rPr>
        <w:t>五是指导本院各人民法庭的审判工作。</w:t>
      </w:r>
    </w:p>
    <w:p w14:paraId="7518E6E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left"/>
        <w:textAlignment w:val="auto"/>
        <w:outlineLvl w:val="9"/>
        <w:rPr>
          <w:rFonts w:hint="eastAsia" w:ascii="方正仿宋_GBK" w:hAnsi="方正仿宋_GBK" w:eastAsia="方正仿宋_GBK" w:cs="方正仿宋_GBK"/>
          <w:color w:val="000000"/>
          <w:w w:val="100"/>
          <w:sz w:val="33"/>
          <w:szCs w:val="33"/>
          <w:highlight w:val="none"/>
          <w:lang w:val="en-US" w:eastAsia="zh-CN"/>
        </w:rPr>
      </w:pPr>
      <w:r>
        <w:rPr>
          <w:rFonts w:hint="eastAsia" w:ascii="方正仿宋_GBK" w:hAnsi="方正仿宋_GBK" w:eastAsia="方正仿宋_GBK" w:cs="方正仿宋_GBK"/>
          <w:color w:val="000000"/>
          <w:w w:val="100"/>
          <w:sz w:val="33"/>
          <w:szCs w:val="33"/>
          <w:highlight w:val="none"/>
          <w:lang w:val="en-US" w:eastAsia="zh-CN"/>
        </w:rPr>
        <w:t>六是负责人民法院思想政治工作，纪检监察工作和队伍管理、培训、教育工作；按照权限管理法官、执行员、书记员和司法警察。</w:t>
      </w:r>
    </w:p>
    <w:p w14:paraId="3702DDA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left"/>
        <w:textAlignment w:val="auto"/>
        <w:outlineLvl w:val="9"/>
        <w:rPr>
          <w:rFonts w:hint="eastAsia" w:ascii="方正仿宋_GBK" w:hAnsi="方正仿宋_GBK" w:eastAsia="方正仿宋_GBK" w:cs="方正仿宋_GBK"/>
          <w:color w:val="000000"/>
          <w:w w:val="100"/>
          <w:sz w:val="33"/>
          <w:szCs w:val="33"/>
          <w:highlight w:val="none"/>
          <w:lang w:val="en-US" w:eastAsia="zh-CN"/>
        </w:rPr>
      </w:pPr>
      <w:r>
        <w:rPr>
          <w:rFonts w:hint="eastAsia" w:ascii="方正仿宋_GBK" w:hAnsi="方正仿宋_GBK" w:eastAsia="方正仿宋_GBK" w:cs="方正仿宋_GBK"/>
          <w:color w:val="000000"/>
          <w:w w:val="100"/>
          <w:sz w:val="33"/>
          <w:szCs w:val="33"/>
          <w:highlight w:val="none"/>
          <w:lang w:val="en-US" w:eastAsia="zh-CN"/>
        </w:rPr>
        <w:t>七是针对案件审理中发现的问题提出司法建议。</w:t>
      </w:r>
    </w:p>
    <w:p w14:paraId="6DE7B85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left"/>
        <w:textAlignment w:val="auto"/>
        <w:outlineLvl w:val="9"/>
        <w:rPr>
          <w:rFonts w:hint="eastAsia" w:ascii="方正仿宋_GBK" w:hAnsi="方正仿宋_GBK" w:eastAsia="方正仿宋_GBK" w:cs="方正仿宋_GBK"/>
          <w:color w:val="000000"/>
          <w:w w:val="100"/>
          <w:sz w:val="33"/>
          <w:szCs w:val="33"/>
          <w:highlight w:val="none"/>
          <w:lang w:val="en-US" w:eastAsia="zh-CN"/>
        </w:rPr>
      </w:pPr>
      <w:r>
        <w:rPr>
          <w:rFonts w:hint="eastAsia" w:ascii="方正仿宋_GBK" w:hAnsi="方正仿宋_GBK" w:eastAsia="方正仿宋_GBK" w:cs="方正仿宋_GBK"/>
          <w:color w:val="000000"/>
          <w:w w:val="100"/>
          <w:sz w:val="33"/>
          <w:szCs w:val="33"/>
          <w:highlight w:val="none"/>
          <w:lang w:val="en-US" w:eastAsia="zh-CN"/>
        </w:rPr>
        <w:t>八是开展法制宣讲和巡回审判工作，教育公民自觉遵守宪法、法律和社会道德。</w:t>
      </w:r>
    </w:p>
    <w:p w14:paraId="0C94EEF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left"/>
        <w:textAlignment w:val="auto"/>
        <w:outlineLvl w:val="9"/>
        <w:rPr>
          <w:rFonts w:hint="eastAsia" w:ascii="方正仿宋_GBK" w:hAnsi="方正仿宋_GBK" w:eastAsia="方正仿宋_GBK" w:cs="方正仿宋_GBK"/>
          <w:color w:val="000000"/>
          <w:w w:val="100"/>
          <w:sz w:val="33"/>
          <w:szCs w:val="33"/>
          <w:highlight w:val="none"/>
          <w:lang w:val="en-US" w:eastAsia="zh-CN"/>
        </w:rPr>
      </w:pPr>
      <w:r>
        <w:rPr>
          <w:rFonts w:hint="eastAsia" w:ascii="方正仿宋_GBK" w:hAnsi="方正仿宋_GBK" w:eastAsia="方正仿宋_GBK" w:cs="方正仿宋_GBK"/>
          <w:color w:val="000000"/>
          <w:w w:val="100"/>
          <w:sz w:val="33"/>
          <w:szCs w:val="33"/>
          <w:highlight w:val="none"/>
          <w:lang w:val="en-US" w:eastAsia="zh-CN"/>
        </w:rPr>
        <w:t>九是做好大调解工作，并指导基层人民调解委员会工作。</w:t>
      </w:r>
    </w:p>
    <w:p w14:paraId="61C8167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left"/>
        <w:textAlignment w:val="auto"/>
        <w:outlineLvl w:val="9"/>
        <w:rPr>
          <w:rFonts w:hint="eastAsia" w:ascii="方正仿宋_GBK" w:hAnsi="方正仿宋_GBK" w:eastAsia="方正仿宋_GBK" w:cs="方正仿宋_GBK"/>
          <w:color w:val="000000"/>
          <w:w w:val="100"/>
          <w:sz w:val="33"/>
          <w:szCs w:val="33"/>
          <w:highlight w:val="none"/>
          <w:lang w:val="en-US" w:eastAsia="zh-CN"/>
        </w:rPr>
      </w:pPr>
      <w:r>
        <w:rPr>
          <w:rFonts w:hint="eastAsia" w:ascii="方正仿宋_GBK" w:hAnsi="方正仿宋_GBK" w:eastAsia="方正仿宋_GBK" w:cs="方正仿宋_GBK"/>
          <w:color w:val="000000"/>
          <w:w w:val="100"/>
          <w:sz w:val="33"/>
          <w:szCs w:val="33"/>
          <w:highlight w:val="none"/>
          <w:lang w:val="en-US" w:eastAsia="zh-CN"/>
        </w:rPr>
        <w:t>十是承办其他应由基层人民法院负责的工作。</w:t>
      </w:r>
    </w:p>
    <w:p w14:paraId="3C86FAE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textAlignment w:val="auto"/>
        <w:rPr>
          <w:rFonts w:hint="eastAsia" w:ascii="方正楷体_GBK" w:hAnsi="方正楷体_GBK" w:eastAsia="方正楷体_GBK" w:cs="方正楷体_GBK"/>
          <w:b/>
          <w:bCs w:val="0"/>
          <w:sz w:val="33"/>
          <w:szCs w:val="33"/>
        </w:rPr>
      </w:pPr>
      <w:r>
        <w:rPr>
          <w:rFonts w:hint="eastAsia" w:ascii="方正楷体_GBK" w:hAnsi="方正楷体_GBK" w:eastAsia="方正楷体_GBK" w:cs="方正楷体_GBK"/>
          <w:b/>
          <w:bCs w:val="0"/>
          <w:sz w:val="33"/>
          <w:szCs w:val="33"/>
        </w:rPr>
        <w:t>（三）人员概况</w:t>
      </w:r>
    </w:p>
    <w:p w14:paraId="0311A129">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color w:val="000000"/>
          <w:w w:val="100"/>
          <w:sz w:val="33"/>
          <w:szCs w:val="33"/>
          <w:highlight w:val="none"/>
          <w:lang w:val="en-US" w:eastAsia="zh-CN"/>
        </w:rPr>
        <w:t>至2019年底，共有干警66人，其中中央政法编制共计62人，机关工勤编制4人。</w:t>
      </w:r>
    </w:p>
    <w:p w14:paraId="0B55D26D">
      <w:pPr>
        <w:keepNext w:val="0"/>
        <w:keepLines w:val="0"/>
        <w:pageBreakBefore w:val="0"/>
        <w:widowControl w:val="0"/>
        <w:numPr>
          <w:ilvl w:val="0"/>
          <w:numId w:val="0"/>
        </w:numPr>
        <w:tabs>
          <w:tab w:val="left" w:pos="717"/>
        </w:tabs>
        <w:kinsoku/>
        <w:wordWrap/>
        <w:overflowPunct/>
        <w:topLinePunct w:val="0"/>
        <w:autoSpaceDE/>
        <w:autoSpaceDN/>
        <w:bidi w:val="0"/>
        <w:adjustRightInd/>
        <w:snapToGrid/>
        <w:spacing w:line="590" w:lineRule="exact"/>
        <w:ind w:left="680" w:leftChars="0" w:right="0" w:rightChars="0"/>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lang w:eastAsia="zh-CN"/>
        </w:rPr>
        <w:t>二、</w:t>
      </w:r>
      <w:r>
        <w:rPr>
          <w:rFonts w:hint="eastAsia" w:ascii="方正黑体_GBK" w:hAnsi="方正黑体_GBK" w:eastAsia="方正黑体_GBK" w:cs="方正黑体_GBK"/>
          <w:sz w:val="33"/>
          <w:szCs w:val="33"/>
        </w:rPr>
        <w:t>部门财政资金收支情况</w:t>
      </w:r>
    </w:p>
    <w:p w14:paraId="7E79A2E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80" w:leftChars="0" w:right="0" w:rightChars="0"/>
        <w:textAlignment w:val="auto"/>
        <w:rPr>
          <w:rFonts w:hint="eastAsia" w:ascii="方正仿宋_GBK" w:hAnsi="方正仿宋_GBK" w:eastAsia="方正仿宋_GBK" w:cs="方正仿宋_GBK"/>
          <w:b/>
          <w:bCs w:val="0"/>
          <w:sz w:val="33"/>
          <w:szCs w:val="33"/>
        </w:rPr>
      </w:pPr>
      <w:r>
        <w:rPr>
          <w:rFonts w:hint="eastAsia" w:ascii="方正仿宋_GBK" w:hAnsi="方正仿宋_GBK" w:eastAsia="方正仿宋_GBK" w:cs="方正仿宋_GBK"/>
          <w:b/>
          <w:bCs w:val="0"/>
          <w:sz w:val="33"/>
          <w:szCs w:val="33"/>
        </w:rPr>
        <w:t>（一）部门财政资金收入情况</w:t>
      </w:r>
    </w:p>
    <w:p w14:paraId="320AC7B1">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lang w:eastAsia="zh-CN"/>
        </w:rPr>
        <w:t>201</w:t>
      </w:r>
      <w:r>
        <w:rPr>
          <w:rFonts w:hint="eastAsia" w:ascii="方正仿宋_GBK" w:hAnsi="方正仿宋_GBK" w:eastAsia="方正仿宋_GBK" w:cs="方正仿宋_GBK"/>
          <w:sz w:val="33"/>
          <w:szCs w:val="33"/>
          <w:lang w:val="en-US" w:eastAsia="zh-CN"/>
        </w:rPr>
        <w:t>9</w:t>
      </w:r>
      <w:r>
        <w:rPr>
          <w:rFonts w:hint="eastAsia" w:ascii="方正仿宋_GBK" w:hAnsi="方正仿宋_GBK" w:eastAsia="方正仿宋_GBK" w:cs="方正仿宋_GBK"/>
          <w:sz w:val="33"/>
          <w:szCs w:val="33"/>
        </w:rPr>
        <w:t>年财政拨款收入1892.56</w:t>
      </w:r>
      <w:r>
        <w:rPr>
          <w:rFonts w:hint="eastAsia" w:ascii="方正仿宋_GBK" w:hAnsi="方正仿宋_GBK" w:eastAsia="方正仿宋_GBK" w:cs="方正仿宋_GBK"/>
          <w:sz w:val="33"/>
          <w:szCs w:val="33"/>
          <w:lang w:val="en-US" w:eastAsia="zh-CN"/>
        </w:rPr>
        <w:t>万</w:t>
      </w:r>
      <w:r>
        <w:rPr>
          <w:rFonts w:hint="eastAsia" w:ascii="方正仿宋_GBK" w:hAnsi="方正仿宋_GBK" w:eastAsia="方正仿宋_GBK" w:cs="方正仿宋_GBK"/>
          <w:sz w:val="33"/>
          <w:szCs w:val="33"/>
        </w:rPr>
        <w:t>元。其中：基本支出拨款1051.19万；项目支出拨款802.73万元。</w:t>
      </w:r>
    </w:p>
    <w:p w14:paraId="75246A51">
      <w:pPr>
        <w:keepNext w:val="0"/>
        <w:keepLines w:val="0"/>
        <w:pageBreakBefore w:val="0"/>
        <w:widowControl w:val="0"/>
        <w:kinsoku/>
        <w:wordWrap/>
        <w:overflowPunct/>
        <w:topLinePunct w:val="0"/>
        <w:autoSpaceDE/>
        <w:autoSpaceDN/>
        <w:bidi w:val="0"/>
        <w:adjustRightInd/>
        <w:snapToGrid/>
        <w:spacing w:line="590" w:lineRule="exact"/>
        <w:ind w:right="0" w:rightChars="0" w:firstLine="663" w:firstLineChars="200"/>
        <w:textAlignment w:val="auto"/>
        <w:rPr>
          <w:rFonts w:hint="eastAsia" w:ascii="方正楷体_GBK" w:hAnsi="方正楷体_GBK" w:eastAsia="方正楷体_GBK" w:cs="方正楷体_GBK"/>
          <w:b/>
          <w:bCs w:val="0"/>
          <w:sz w:val="33"/>
          <w:szCs w:val="33"/>
        </w:rPr>
      </w:pPr>
      <w:r>
        <w:rPr>
          <w:rFonts w:hint="eastAsia" w:ascii="方正楷体_GBK" w:hAnsi="方正楷体_GBK" w:eastAsia="方正楷体_GBK" w:cs="方正楷体_GBK"/>
          <w:b/>
          <w:bCs w:val="0"/>
          <w:sz w:val="33"/>
          <w:szCs w:val="33"/>
        </w:rPr>
        <w:t>（二）部门财政资金支出情况</w:t>
      </w:r>
    </w:p>
    <w:p w14:paraId="602C6F8C">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rPr>
          <w:rFonts w:hint="eastAsia" w:ascii="方正仿宋_GBK" w:hAnsi="方正仿宋_GBK" w:eastAsia="方正仿宋_GBK" w:cs="方正仿宋_GBK"/>
          <w:sz w:val="33"/>
          <w:szCs w:val="33"/>
          <w:highlight w:val="yellow"/>
        </w:rPr>
      </w:pPr>
      <w:r>
        <w:rPr>
          <w:rFonts w:hint="eastAsia" w:ascii="方正仿宋_GBK" w:hAnsi="方正仿宋_GBK" w:eastAsia="方正仿宋_GBK" w:cs="方正仿宋_GBK"/>
          <w:sz w:val="33"/>
          <w:szCs w:val="33"/>
          <w:highlight w:val="none"/>
          <w:lang w:eastAsia="zh-CN"/>
        </w:rPr>
        <w:t>201</w:t>
      </w:r>
      <w:r>
        <w:rPr>
          <w:rFonts w:hint="eastAsia" w:ascii="方正仿宋_GBK" w:hAnsi="方正仿宋_GBK" w:eastAsia="方正仿宋_GBK" w:cs="方正仿宋_GBK"/>
          <w:sz w:val="33"/>
          <w:szCs w:val="33"/>
          <w:highlight w:val="none"/>
          <w:lang w:val="en-US" w:eastAsia="zh-CN"/>
        </w:rPr>
        <w:t>9</w:t>
      </w:r>
      <w:r>
        <w:rPr>
          <w:rFonts w:hint="eastAsia" w:ascii="方正仿宋_GBK" w:hAnsi="方正仿宋_GBK" w:eastAsia="方正仿宋_GBK" w:cs="方正仿宋_GBK"/>
          <w:sz w:val="33"/>
          <w:szCs w:val="33"/>
          <w:highlight w:val="none"/>
        </w:rPr>
        <w:t>年经费支出1853.93</w:t>
      </w:r>
      <w:r>
        <w:rPr>
          <w:rFonts w:hint="eastAsia" w:ascii="方正仿宋_GBK" w:hAnsi="方正仿宋_GBK" w:eastAsia="方正仿宋_GBK" w:cs="方正仿宋_GBK"/>
          <w:sz w:val="33"/>
          <w:szCs w:val="33"/>
          <w:highlight w:val="none"/>
          <w:lang w:val="en-US" w:eastAsia="zh-CN"/>
        </w:rPr>
        <w:t>万</w:t>
      </w:r>
      <w:r>
        <w:rPr>
          <w:rFonts w:hint="eastAsia" w:ascii="方正仿宋_GBK" w:hAnsi="方正仿宋_GBK" w:eastAsia="方正仿宋_GBK" w:cs="方正仿宋_GBK"/>
          <w:sz w:val="33"/>
          <w:szCs w:val="33"/>
          <w:highlight w:val="none"/>
        </w:rPr>
        <w:t>元。其中：</w:t>
      </w:r>
      <w:r>
        <w:rPr>
          <w:rFonts w:hint="eastAsia" w:ascii="仿宋" w:hAnsi="仿宋" w:eastAsia="仿宋"/>
          <w:color w:val="000000"/>
          <w:sz w:val="32"/>
          <w:szCs w:val="32"/>
        </w:rPr>
        <w:t>基本支出</w:t>
      </w:r>
      <w:r>
        <w:rPr>
          <w:rFonts w:hint="eastAsia" w:ascii="仿宋" w:hAnsi="仿宋" w:eastAsia="仿宋"/>
          <w:color w:val="000000"/>
          <w:sz w:val="32"/>
          <w:szCs w:val="32"/>
          <w:lang w:val="en-US" w:eastAsia="zh-CN"/>
        </w:rPr>
        <w:t>1051.19</w:t>
      </w:r>
      <w:r>
        <w:rPr>
          <w:rFonts w:hint="eastAsia" w:ascii="仿宋" w:hAnsi="仿宋" w:eastAsia="仿宋"/>
          <w:color w:val="000000"/>
          <w:sz w:val="32"/>
          <w:szCs w:val="32"/>
        </w:rPr>
        <w:t>万元</w:t>
      </w:r>
      <w:r>
        <w:rPr>
          <w:rFonts w:hint="eastAsia" w:ascii="方正仿宋_GBK" w:hAnsi="方正仿宋_GBK" w:eastAsia="方正仿宋_GBK" w:cs="方正仿宋_GBK"/>
          <w:sz w:val="33"/>
          <w:szCs w:val="33"/>
          <w:highlight w:val="none"/>
        </w:rPr>
        <w:t>；项目支出</w:t>
      </w:r>
      <w:r>
        <w:rPr>
          <w:rFonts w:hint="eastAsia" w:ascii="仿宋" w:hAnsi="仿宋" w:eastAsia="仿宋"/>
          <w:color w:val="000000"/>
          <w:sz w:val="32"/>
          <w:szCs w:val="32"/>
          <w:lang w:val="en-US" w:eastAsia="zh-CN"/>
        </w:rPr>
        <w:t>802.73</w:t>
      </w:r>
      <w:r>
        <w:rPr>
          <w:rFonts w:hint="eastAsia" w:ascii="仿宋" w:hAnsi="仿宋" w:eastAsia="仿宋"/>
          <w:color w:val="000000"/>
          <w:sz w:val="32"/>
          <w:szCs w:val="32"/>
        </w:rPr>
        <w:t>万元</w:t>
      </w:r>
      <w:r>
        <w:rPr>
          <w:rFonts w:hint="eastAsia" w:ascii="方正仿宋_GBK" w:hAnsi="方正仿宋_GBK" w:eastAsia="方正仿宋_GBK" w:cs="方正仿宋_GBK"/>
          <w:sz w:val="33"/>
          <w:szCs w:val="33"/>
          <w:highlight w:val="none"/>
        </w:rPr>
        <w:t>。</w:t>
      </w:r>
    </w:p>
    <w:p w14:paraId="455F2B1D">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rPr>
          <w:rFonts w:hint="eastAsia" w:ascii="方正仿宋_GBK" w:hAnsi="方正仿宋_GBK" w:eastAsia="方正仿宋_GBK" w:cs="方正仿宋_GBK"/>
          <w:sz w:val="33"/>
          <w:szCs w:val="33"/>
        </w:rPr>
      </w:pPr>
      <w:r>
        <w:rPr>
          <w:rFonts w:hint="eastAsia" w:ascii="方正黑体_GBK" w:hAnsi="方正黑体_GBK" w:eastAsia="方正黑体_GBK" w:cs="方正黑体_GBK"/>
          <w:sz w:val="33"/>
          <w:szCs w:val="33"/>
        </w:rPr>
        <w:t>三、部门财政支出管理情况</w:t>
      </w:r>
    </w:p>
    <w:p w14:paraId="20B5E3DE">
      <w:pPr>
        <w:keepNext w:val="0"/>
        <w:keepLines w:val="0"/>
        <w:pageBreakBefore w:val="0"/>
        <w:widowControl w:val="0"/>
        <w:kinsoku/>
        <w:wordWrap/>
        <w:overflowPunct/>
        <w:topLinePunct w:val="0"/>
        <w:autoSpaceDE/>
        <w:autoSpaceDN/>
        <w:bidi w:val="0"/>
        <w:adjustRightInd/>
        <w:snapToGrid/>
        <w:spacing w:line="590" w:lineRule="exact"/>
        <w:ind w:right="0" w:rightChars="0" w:firstLine="663" w:firstLineChars="200"/>
        <w:textAlignment w:val="auto"/>
        <w:rPr>
          <w:rFonts w:hint="eastAsia" w:ascii="方正楷体_GBK" w:hAnsi="方正楷体_GBK" w:eastAsia="方正楷体_GBK" w:cs="方正楷体_GBK"/>
          <w:b/>
          <w:bCs w:val="0"/>
          <w:sz w:val="33"/>
          <w:szCs w:val="33"/>
          <w:lang w:eastAsia="zh-CN"/>
        </w:rPr>
      </w:pPr>
      <w:r>
        <w:rPr>
          <w:rFonts w:hint="eastAsia" w:ascii="方正楷体_GBK" w:hAnsi="方正楷体_GBK" w:eastAsia="方正楷体_GBK" w:cs="方正楷体_GBK"/>
          <w:b/>
          <w:bCs w:val="0"/>
          <w:sz w:val="33"/>
          <w:szCs w:val="33"/>
        </w:rPr>
        <w:t>（一）预算编制情况</w:t>
      </w:r>
    </w:p>
    <w:p w14:paraId="226EF653">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rPr>
          <w:rFonts w:hint="eastAsia" w:ascii="方正仿宋_GBK" w:hAnsi="方正仿宋_GBK" w:eastAsia="方正仿宋_GBK" w:cs="方正仿宋_GBK"/>
          <w:b/>
          <w:sz w:val="33"/>
          <w:szCs w:val="33"/>
        </w:rPr>
      </w:pPr>
      <w:r>
        <w:rPr>
          <w:rFonts w:hint="eastAsia" w:ascii="方正仿宋_GBK" w:hAnsi="方正仿宋_GBK" w:eastAsia="方正仿宋_GBK" w:cs="方正仿宋_GBK"/>
          <w:sz w:val="33"/>
          <w:szCs w:val="33"/>
          <w:lang w:eastAsia="zh-CN"/>
        </w:rPr>
        <w:t>201</w:t>
      </w:r>
      <w:r>
        <w:rPr>
          <w:rFonts w:hint="eastAsia" w:ascii="方正仿宋_GBK" w:hAnsi="方正仿宋_GBK" w:eastAsia="方正仿宋_GBK" w:cs="方正仿宋_GBK"/>
          <w:sz w:val="33"/>
          <w:szCs w:val="33"/>
          <w:lang w:val="en-US" w:eastAsia="zh-CN"/>
        </w:rPr>
        <w:t>9</w:t>
      </w:r>
      <w:r>
        <w:rPr>
          <w:rFonts w:hint="eastAsia" w:ascii="方正仿宋_GBK" w:hAnsi="方正仿宋_GBK" w:eastAsia="方正仿宋_GBK" w:cs="方正仿宋_GBK"/>
          <w:sz w:val="33"/>
          <w:szCs w:val="33"/>
        </w:rPr>
        <w:t>年我单位按照财政管理科学化、规范化、精细化的总体要求，进一步优化支出结构，按照八项规定，从严控制</w:t>
      </w:r>
      <w:r>
        <w:rPr>
          <w:rFonts w:hint="eastAsia" w:ascii="方正仿宋_GBK" w:hAnsi="方正仿宋_GBK" w:eastAsia="方正仿宋_GBK" w:cs="方正仿宋_GBK"/>
          <w:sz w:val="33"/>
          <w:szCs w:val="33"/>
          <w:lang w:eastAsia="zh-CN"/>
        </w:rPr>
        <w:t>“三公”经费</w:t>
      </w:r>
      <w:r>
        <w:rPr>
          <w:rFonts w:hint="eastAsia" w:ascii="方正仿宋_GBK" w:hAnsi="方正仿宋_GBK" w:eastAsia="方正仿宋_GBK" w:cs="方正仿宋_GBK"/>
          <w:sz w:val="33"/>
          <w:szCs w:val="33"/>
        </w:rPr>
        <w:t>预算。预算编制本着收入预算编制体现积极稳妥、收支平衡的原则，支出预算编制体现统筹兼顾、量力而行、突出重点、勤俭节约的原则，预算管理遵循预算约束，注重绩效的原则，严格按照财政部门要求，结合单位实际，编制了</w:t>
      </w:r>
      <w:r>
        <w:rPr>
          <w:rFonts w:hint="eastAsia" w:ascii="方正仿宋_GBK" w:hAnsi="方正仿宋_GBK" w:eastAsia="方正仿宋_GBK" w:cs="方正仿宋_GBK"/>
          <w:sz w:val="33"/>
          <w:szCs w:val="33"/>
          <w:lang w:eastAsia="zh-CN"/>
        </w:rPr>
        <w:t>201</w:t>
      </w:r>
      <w:r>
        <w:rPr>
          <w:rFonts w:hint="eastAsia" w:ascii="方正仿宋_GBK" w:hAnsi="方正仿宋_GBK" w:eastAsia="方正仿宋_GBK" w:cs="方正仿宋_GBK"/>
          <w:sz w:val="33"/>
          <w:szCs w:val="33"/>
          <w:lang w:val="en-US" w:eastAsia="zh-CN"/>
        </w:rPr>
        <w:t>9</w:t>
      </w:r>
      <w:r>
        <w:rPr>
          <w:rFonts w:hint="eastAsia" w:ascii="方正仿宋_GBK" w:hAnsi="方正仿宋_GBK" w:eastAsia="方正仿宋_GBK" w:cs="方正仿宋_GBK"/>
          <w:sz w:val="33"/>
          <w:szCs w:val="33"/>
        </w:rPr>
        <w:t>年部门财政预算书，并通过了财政部门审核。</w:t>
      </w:r>
      <w:r>
        <w:rPr>
          <w:rFonts w:hint="eastAsia" w:ascii="方正仿宋_GBK" w:hAnsi="方正仿宋_GBK" w:eastAsia="方正仿宋_GBK" w:cs="方正仿宋_GBK"/>
          <w:sz w:val="33"/>
          <w:szCs w:val="33"/>
          <w:lang w:eastAsia="zh-CN"/>
        </w:rPr>
        <w:t>201</w:t>
      </w:r>
      <w:r>
        <w:rPr>
          <w:rFonts w:hint="eastAsia" w:ascii="方正仿宋_GBK" w:hAnsi="方正仿宋_GBK" w:eastAsia="方正仿宋_GBK" w:cs="方正仿宋_GBK"/>
          <w:sz w:val="33"/>
          <w:szCs w:val="33"/>
          <w:lang w:val="en-US" w:eastAsia="zh-CN"/>
        </w:rPr>
        <w:t>9</w:t>
      </w:r>
      <w:r>
        <w:rPr>
          <w:rFonts w:hint="eastAsia" w:ascii="方正仿宋_GBK" w:hAnsi="方正仿宋_GBK" w:eastAsia="方正仿宋_GBK" w:cs="方正仿宋_GBK"/>
          <w:sz w:val="33"/>
          <w:szCs w:val="33"/>
        </w:rPr>
        <w:t>年年初预算数为1388.39万元。</w:t>
      </w:r>
    </w:p>
    <w:p w14:paraId="3FA05B4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textAlignment w:val="auto"/>
        <w:rPr>
          <w:rFonts w:hint="eastAsia" w:ascii="方正楷体_GBK" w:hAnsi="方正楷体_GBK" w:eastAsia="方正楷体_GBK" w:cs="方正楷体_GBK"/>
          <w:b/>
          <w:bCs w:val="0"/>
          <w:sz w:val="33"/>
          <w:szCs w:val="33"/>
          <w:lang w:eastAsia="zh-CN"/>
        </w:rPr>
      </w:pPr>
      <w:r>
        <w:rPr>
          <w:rFonts w:hint="eastAsia" w:ascii="方正楷体_GBK" w:hAnsi="方正楷体_GBK" w:eastAsia="方正楷体_GBK" w:cs="方正楷体_GBK"/>
          <w:b/>
          <w:bCs w:val="0"/>
          <w:sz w:val="33"/>
          <w:szCs w:val="33"/>
        </w:rPr>
        <w:t>（二）执行管理情况</w:t>
      </w:r>
    </w:p>
    <w:p w14:paraId="381B02A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textAlignment w:val="auto"/>
        <w:rPr>
          <w:rFonts w:hint="eastAsia" w:ascii="方正仿宋_GBK" w:hAnsi="方正仿宋_GBK" w:eastAsia="方正仿宋_GBK" w:cs="方正仿宋_GBK"/>
          <w:b/>
          <w:sz w:val="33"/>
          <w:szCs w:val="33"/>
        </w:rPr>
      </w:pPr>
      <w:r>
        <w:rPr>
          <w:rFonts w:hint="eastAsia" w:ascii="方正仿宋_GBK" w:hAnsi="方正仿宋_GBK" w:eastAsia="方正仿宋_GBK" w:cs="方正仿宋_GBK"/>
          <w:sz w:val="33"/>
          <w:szCs w:val="33"/>
        </w:rPr>
        <w:t>按照国家相关政策规定核定经常性收支，严格执行单位财政管理，全年单位财政资金支出管理基本按照预算执行，6月、9月、12月都达到本单位应该执行的进度。</w:t>
      </w:r>
    </w:p>
    <w:p w14:paraId="22CE82D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rPr>
          <w:rFonts w:hint="eastAsia" w:ascii="方正仿宋_GBK" w:hAnsi="方正仿宋_GBK" w:eastAsia="方正仿宋_GBK" w:cs="方正仿宋_GBK"/>
          <w:b/>
          <w:sz w:val="33"/>
          <w:szCs w:val="33"/>
          <w:lang w:eastAsia="zh-CN"/>
        </w:rPr>
      </w:pPr>
      <w:r>
        <w:rPr>
          <w:rFonts w:hint="eastAsia" w:ascii="方正仿宋_GBK" w:hAnsi="方正仿宋_GBK" w:eastAsia="方正仿宋_GBK" w:cs="方正仿宋_GBK"/>
          <w:b/>
          <w:sz w:val="33"/>
          <w:szCs w:val="33"/>
        </w:rPr>
        <w:t xml:space="preserve">    </w:t>
      </w:r>
      <w:r>
        <w:rPr>
          <w:rFonts w:hint="eastAsia" w:ascii="方正楷体_GBK" w:hAnsi="方正楷体_GBK" w:eastAsia="方正楷体_GBK" w:cs="方正楷体_GBK"/>
          <w:b/>
          <w:bCs w:val="0"/>
          <w:sz w:val="33"/>
          <w:szCs w:val="33"/>
        </w:rPr>
        <w:t>（三）支出绩效情况</w:t>
      </w:r>
    </w:p>
    <w:p w14:paraId="604BAC19">
      <w:pPr>
        <w:keepNext w:val="0"/>
        <w:keepLines w:val="0"/>
        <w:pageBreakBefore w:val="0"/>
        <w:widowControl w:val="0"/>
        <w:kinsoku/>
        <w:wordWrap/>
        <w:overflowPunct/>
        <w:topLinePunct w:val="0"/>
        <w:autoSpaceDE/>
        <w:autoSpaceDN/>
        <w:bidi w:val="0"/>
        <w:adjustRightInd/>
        <w:snapToGrid/>
        <w:spacing w:line="590" w:lineRule="exact"/>
        <w:ind w:right="0" w:rightChars="0" w:firstLine="663" w:firstLineChars="200"/>
        <w:textAlignment w:val="auto"/>
        <w:rPr>
          <w:rFonts w:hint="eastAsia" w:ascii="方正仿宋_GBK" w:hAnsi="方正仿宋_GBK" w:eastAsia="方正仿宋_GBK" w:cs="方正仿宋_GBK"/>
          <w:sz w:val="33"/>
          <w:szCs w:val="33"/>
          <w:highlight w:val="none"/>
        </w:rPr>
      </w:pPr>
      <w:r>
        <w:rPr>
          <w:rFonts w:hint="eastAsia" w:ascii="方正仿宋_GBK" w:hAnsi="方正仿宋_GBK" w:eastAsia="方正仿宋_GBK" w:cs="方正仿宋_GBK"/>
          <w:b/>
          <w:bCs w:val="0"/>
          <w:sz w:val="33"/>
          <w:szCs w:val="33"/>
          <w:highlight w:val="none"/>
        </w:rPr>
        <w:t>1.行政运转保障。</w:t>
      </w:r>
      <w:r>
        <w:rPr>
          <w:rFonts w:hint="eastAsia" w:ascii="方正仿宋_GBK" w:hAnsi="方正仿宋_GBK" w:eastAsia="方正仿宋_GBK" w:cs="方正仿宋_GBK"/>
          <w:sz w:val="33"/>
          <w:szCs w:val="33"/>
          <w:highlight w:val="none"/>
        </w:rPr>
        <w:t>财政部门预算经费拨付及时到位，有力保证了</w:t>
      </w:r>
      <w:r>
        <w:rPr>
          <w:rFonts w:hint="eastAsia" w:ascii="方正仿宋_GBK" w:hAnsi="方正仿宋_GBK" w:eastAsia="方正仿宋_GBK" w:cs="方正仿宋_GBK"/>
          <w:sz w:val="33"/>
          <w:szCs w:val="33"/>
          <w:highlight w:val="none"/>
          <w:lang w:eastAsia="zh-CN"/>
        </w:rPr>
        <w:t>院</w:t>
      </w:r>
      <w:r>
        <w:rPr>
          <w:rFonts w:hint="eastAsia" w:ascii="方正仿宋_GBK" w:hAnsi="方正仿宋_GBK" w:eastAsia="方正仿宋_GBK" w:cs="方正仿宋_GBK"/>
          <w:sz w:val="33"/>
          <w:szCs w:val="33"/>
          <w:highlight w:val="none"/>
        </w:rPr>
        <w:t>机关正常运转和全年工作目标任务的完成。</w:t>
      </w:r>
    </w:p>
    <w:p w14:paraId="5E09DF0A">
      <w:pPr>
        <w:keepNext w:val="0"/>
        <w:keepLines w:val="0"/>
        <w:pageBreakBefore w:val="0"/>
        <w:widowControl w:val="0"/>
        <w:kinsoku/>
        <w:wordWrap/>
        <w:overflowPunct/>
        <w:topLinePunct w:val="0"/>
        <w:autoSpaceDE/>
        <w:autoSpaceDN/>
        <w:bidi w:val="0"/>
        <w:adjustRightInd/>
        <w:snapToGrid/>
        <w:spacing w:line="590" w:lineRule="exact"/>
        <w:ind w:right="0" w:rightChars="0" w:firstLine="663" w:firstLineChars="200"/>
        <w:textAlignment w:val="auto"/>
        <w:rPr>
          <w:rFonts w:hint="eastAsia" w:ascii="方正仿宋_GBK" w:hAnsi="方正仿宋_GBK" w:eastAsia="方正仿宋_GBK" w:cs="方正仿宋_GBK"/>
          <w:sz w:val="33"/>
          <w:szCs w:val="33"/>
          <w:highlight w:val="none"/>
        </w:rPr>
      </w:pPr>
      <w:r>
        <w:rPr>
          <w:rFonts w:hint="eastAsia" w:ascii="方正仿宋_GBK" w:hAnsi="方正仿宋_GBK" w:eastAsia="方正仿宋_GBK" w:cs="方正仿宋_GBK"/>
          <w:b/>
          <w:bCs w:val="0"/>
          <w:sz w:val="33"/>
          <w:szCs w:val="33"/>
          <w:highlight w:val="none"/>
        </w:rPr>
        <w:t>2.机关厉行节约。</w:t>
      </w:r>
      <w:r>
        <w:rPr>
          <w:rFonts w:hint="eastAsia" w:ascii="方正仿宋_GBK" w:hAnsi="方正仿宋_GBK" w:eastAsia="方正仿宋_GBK" w:cs="方正仿宋_GBK"/>
          <w:sz w:val="33"/>
          <w:szCs w:val="33"/>
          <w:highlight w:val="none"/>
        </w:rPr>
        <w:t>全年因公出国（境）经费支出0元，</w:t>
      </w:r>
      <w:r>
        <w:rPr>
          <w:rFonts w:hint="eastAsia" w:ascii="方正仿宋_GBK" w:hAnsi="方正仿宋_GBK" w:eastAsia="方正仿宋_GBK" w:cs="方正仿宋_GBK"/>
          <w:sz w:val="33"/>
          <w:szCs w:val="33"/>
          <w:highlight w:val="none"/>
          <w:lang w:val="en-US" w:eastAsia="zh-CN"/>
        </w:rPr>
        <w:t>公务用车购置及运行维护费支出22.6万元</w:t>
      </w:r>
      <w:r>
        <w:rPr>
          <w:rFonts w:hint="eastAsia" w:ascii="方正仿宋_GBK" w:hAnsi="方正仿宋_GBK" w:eastAsia="方正仿宋_GBK" w:cs="方正仿宋_GBK"/>
          <w:sz w:val="33"/>
          <w:szCs w:val="33"/>
          <w:highlight w:val="none"/>
        </w:rPr>
        <w:t>，公务接待费支出</w:t>
      </w:r>
      <w:r>
        <w:rPr>
          <w:rFonts w:hint="eastAsia" w:ascii="方正仿宋_GBK" w:hAnsi="方正仿宋_GBK" w:eastAsia="方正仿宋_GBK" w:cs="方正仿宋_GBK"/>
          <w:sz w:val="33"/>
          <w:szCs w:val="33"/>
          <w:highlight w:val="none"/>
          <w:lang w:val="en-US" w:eastAsia="zh-CN"/>
        </w:rPr>
        <w:t>2.43万</w:t>
      </w:r>
      <w:r>
        <w:rPr>
          <w:rFonts w:hint="eastAsia" w:ascii="方正仿宋_GBK" w:hAnsi="方正仿宋_GBK" w:eastAsia="方正仿宋_GBK" w:cs="方正仿宋_GBK"/>
          <w:sz w:val="33"/>
          <w:szCs w:val="33"/>
          <w:highlight w:val="none"/>
        </w:rPr>
        <w:t>元。相比上年同期，公务</w:t>
      </w:r>
      <w:r>
        <w:rPr>
          <w:rFonts w:hint="eastAsia" w:ascii="方正仿宋_GBK" w:hAnsi="方正仿宋_GBK" w:eastAsia="方正仿宋_GBK" w:cs="方正仿宋_GBK"/>
          <w:sz w:val="33"/>
          <w:szCs w:val="33"/>
          <w:highlight w:val="none"/>
          <w:lang w:val="en-US" w:eastAsia="zh-CN"/>
        </w:rPr>
        <w:t>接待</w:t>
      </w:r>
      <w:r>
        <w:rPr>
          <w:rFonts w:hint="eastAsia" w:ascii="方正仿宋_GBK" w:hAnsi="方正仿宋_GBK" w:eastAsia="方正仿宋_GBK" w:cs="方正仿宋_GBK"/>
          <w:sz w:val="33"/>
          <w:szCs w:val="33"/>
          <w:highlight w:val="none"/>
        </w:rPr>
        <w:t>支出有明显减少</w:t>
      </w:r>
      <w:r>
        <w:rPr>
          <w:rFonts w:hint="eastAsia" w:ascii="方正仿宋_GBK" w:hAnsi="方正仿宋_GBK" w:eastAsia="方正仿宋_GBK" w:cs="方正仿宋_GBK"/>
          <w:sz w:val="33"/>
          <w:szCs w:val="33"/>
          <w:highlight w:val="none"/>
          <w:lang w:eastAsia="zh-CN"/>
        </w:rPr>
        <w:t>；</w:t>
      </w:r>
      <w:r>
        <w:rPr>
          <w:rFonts w:hint="eastAsia" w:ascii="方正仿宋_GBK" w:hAnsi="方正仿宋_GBK" w:eastAsia="方正仿宋_GBK" w:cs="方正仿宋_GBK"/>
          <w:sz w:val="33"/>
          <w:szCs w:val="33"/>
          <w:highlight w:val="none"/>
          <w:lang w:val="en-US" w:eastAsia="zh-CN"/>
        </w:rPr>
        <w:t>公务用车购置及运行维护费支出有所上升，原因是车辆编制增加，导致全年的燃油、过路、保险、修理等费用增加</w:t>
      </w:r>
      <w:r>
        <w:rPr>
          <w:rFonts w:hint="eastAsia" w:ascii="方正仿宋_GBK" w:hAnsi="方正仿宋_GBK" w:eastAsia="方正仿宋_GBK" w:cs="方正仿宋_GBK"/>
          <w:sz w:val="33"/>
          <w:szCs w:val="33"/>
          <w:highlight w:val="none"/>
        </w:rPr>
        <w:t>。</w:t>
      </w:r>
    </w:p>
    <w:p w14:paraId="6460C2C8">
      <w:pPr>
        <w:keepNext w:val="0"/>
        <w:keepLines w:val="0"/>
        <w:pageBreakBefore w:val="0"/>
        <w:widowControl w:val="0"/>
        <w:kinsoku/>
        <w:wordWrap/>
        <w:overflowPunct/>
        <w:topLinePunct w:val="0"/>
        <w:autoSpaceDE/>
        <w:autoSpaceDN/>
        <w:bidi w:val="0"/>
        <w:adjustRightInd/>
        <w:snapToGrid/>
        <w:spacing w:line="590" w:lineRule="exact"/>
        <w:ind w:right="0" w:rightChars="0" w:firstLine="663" w:firstLineChars="200"/>
        <w:textAlignment w:val="auto"/>
        <w:rPr>
          <w:rFonts w:hint="eastAsia" w:ascii="方正仿宋_GBK" w:hAnsi="方正仿宋_GBK" w:eastAsia="方正仿宋_GBK" w:cs="方正仿宋_GBK"/>
          <w:sz w:val="33"/>
          <w:szCs w:val="33"/>
          <w:highlight w:val="none"/>
        </w:rPr>
      </w:pPr>
      <w:r>
        <w:rPr>
          <w:rFonts w:hint="eastAsia" w:ascii="方正仿宋_GBK" w:hAnsi="方正仿宋_GBK" w:eastAsia="方正仿宋_GBK" w:cs="方正仿宋_GBK"/>
          <w:b/>
          <w:bCs w:val="0"/>
          <w:sz w:val="33"/>
          <w:szCs w:val="33"/>
          <w:highlight w:val="none"/>
        </w:rPr>
        <w:t>3.机关节能降耗。</w:t>
      </w:r>
      <w:r>
        <w:rPr>
          <w:rFonts w:hint="eastAsia" w:ascii="方正仿宋_GBK" w:hAnsi="方正仿宋_GBK" w:eastAsia="方正仿宋_GBK" w:cs="方正仿宋_GBK"/>
          <w:sz w:val="33"/>
          <w:szCs w:val="33"/>
          <w:highlight w:val="none"/>
        </w:rPr>
        <w:t>单位全年燃油费支出相比上年同期，能耗有一定降低。</w:t>
      </w:r>
    </w:p>
    <w:p w14:paraId="057A0033">
      <w:pPr>
        <w:keepNext w:val="0"/>
        <w:keepLines w:val="0"/>
        <w:pageBreakBefore w:val="0"/>
        <w:widowControl w:val="0"/>
        <w:kinsoku/>
        <w:wordWrap/>
        <w:overflowPunct/>
        <w:topLinePunct w:val="0"/>
        <w:autoSpaceDE/>
        <w:autoSpaceDN/>
        <w:bidi w:val="0"/>
        <w:adjustRightInd/>
        <w:snapToGrid/>
        <w:spacing w:line="590" w:lineRule="exact"/>
        <w:ind w:right="0" w:rightChars="0" w:firstLine="663" w:firstLineChars="200"/>
        <w:textAlignment w:val="auto"/>
        <w:rPr>
          <w:rFonts w:hint="eastAsia" w:ascii="方正楷体_GBK" w:hAnsi="方正楷体_GBK" w:eastAsia="方正楷体_GBK" w:cs="方正楷体_GBK"/>
          <w:b/>
          <w:bCs w:val="0"/>
          <w:sz w:val="33"/>
          <w:szCs w:val="33"/>
          <w:lang w:eastAsia="zh-CN"/>
        </w:rPr>
      </w:pPr>
      <w:r>
        <w:rPr>
          <w:rFonts w:hint="eastAsia" w:ascii="方正楷体_GBK" w:hAnsi="方正楷体_GBK" w:eastAsia="方正楷体_GBK" w:cs="方正楷体_GBK"/>
          <w:b/>
          <w:bCs w:val="0"/>
          <w:sz w:val="33"/>
          <w:szCs w:val="33"/>
        </w:rPr>
        <w:t>（四）</w:t>
      </w:r>
      <w:r>
        <w:rPr>
          <w:rFonts w:hint="eastAsia" w:ascii="方正楷体_GBK" w:hAnsi="方正楷体_GBK" w:eastAsia="方正楷体_GBK" w:cs="方正楷体_GBK"/>
          <w:b/>
          <w:bCs w:val="0"/>
          <w:sz w:val="33"/>
          <w:szCs w:val="33"/>
          <w:lang w:val="en-US" w:eastAsia="zh-CN"/>
        </w:rPr>
        <w:t>综合</w:t>
      </w:r>
      <w:r>
        <w:rPr>
          <w:rFonts w:hint="eastAsia" w:ascii="方正楷体_GBK" w:hAnsi="方正楷体_GBK" w:eastAsia="方正楷体_GBK" w:cs="方正楷体_GBK"/>
          <w:b/>
          <w:bCs w:val="0"/>
          <w:sz w:val="33"/>
          <w:szCs w:val="33"/>
        </w:rPr>
        <w:t>管理情况</w:t>
      </w:r>
    </w:p>
    <w:p w14:paraId="0BF7AB1F">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textAlignment w:val="auto"/>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rPr>
        <w:t>我单位严格按照财务管理制度，建立健全了《财务管理制度》《公务接待管理办法》《前锋区差旅费管理细则》等一系列规章制度，明确了出纳和会计人员职责分工，财务管理较为有序。</w:t>
      </w:r>
      <w:r>
        <w:rPr>
          <w:rFonts w:hint="eastAsia" w:ascii="方正仿宋_GBK" w:hAnsi="方正仿宋_GBK" w:eastAsia="方正仿宋_GBK" w:cs="方正仿宋_GBK"/>
          <w:sz w:val="33"/>
          <w:szCs w:val="33"/>
          <w:lang w:val="en-US" w:eastAsia="zh-CN"/>
        </w:rPr>
        <w:t>非税收入全部上缴财政，严格执行收支两条线。严格执行政府采购管理制度并建立固定资产台账、建立和完善内控制度，做好信息公开、绩效评价工作，依法接受财政监督检查。</w:t>
      </w:r>
    </w:p>
    <w:p w14:paraId="3ABCE9C2">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0" w:leftChars="0" w:right="0" w:rightChars="0" w:firstLine="645"/>
        <w:textAlignment w:val="auto"/>
        <w:rPr>
          <w:rFonts w:hint="eastAsia" w:ascii="方正楷体_GBK" w:hAnsi="方正楷体_GBK" w:eastAsia="方正楷体_GBK" w:cs="方正楷体_GBK"/>
          <w:b/>
          <w:bCs/>
          <w:sz w:val="33"/>
          <w:szCs w:val="33"/>
          <w:lang w:val="en-US" w:eastAsia="zh-CN"/>
        </w:rPr>
      </w:pPr>
      <w:r>
        <w:rPr>
          <w:rFonts w:hint="eastAsia" w:ascii="方正楷体_GBK" w:hAnsi="方正楷体_GBK" w:eastAsia="方正楷体_GBK" w:cs="方正楷体_GBK"/>
          <w:b/>
          <w:bCs/>
          <w:sz w:val="33"/>
          <w:szCs w:val="33"/>
          <w:lang w:val="en-US" w:eastAsia="zh-CN"/>
        </w:rPr>
        <w:t>整体绩效</w:t>
      </w:r>
    </w:p>
    <w:p w14:paraId="440190C6">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宋体" w:hAnsi="宋体" w:eastAsia="仿宋" w:cs="宋体"/>
          <w:kern w:val="0"/>
          <w:sz w:val="32"/>
          <w:szCs w:val="24"/>
          <w:lang w:val="en-US" w:eastAsia="zh-CN" w:bidi="ar-SA"/>
        </w:rPr>
      </w:pPr>
      <w:r>
        <w:rPr>
          <w:rFonts w:hint="eastAsia" w:ascii="宋体" w:hAnsi="宋体" w:eastAsia="仿宋" w:cs="宋体"/>
          <w:b/>
          <w:bCs/>
          <w:kern w:val="0"/>
          <w:sz w:val="32"/>
          <w:szCs w:val="24"/>
          <w:lang w:val="en-US" w:eastAsia="zh-CN" w:bidi="ar-SA"/>
        </w:rPr>
        <w:t>一是</w:t>
      </w:r>
      <w:r>
        <w:rPr>
          <w:rFonts w:hint="eastAsia" w:ascii="宋体" w:hAnsi="宋体" w:eastAsia="仿宋" w:cs="宋体"/>
          <w:kern w:val="0"/>
          <w:sz w:val="32"/>
          <w:szCs w:val="24"/>
          <w:lang w:val="en-US" w:eastAsia="zh-CN" w:bidi="ar-SA"/>
        </w:rPr>
        <w:t>围绕中心大局，进一步保障高质量发展。助力“产城一体”发展战略，依法平等保障各类市场主体合法权益，加大以党政机关为被告的涉民营企业案件执行力度，保障民营企业债权及时实现。强化司法对接，保障《前锋区支持民营经济健康发展的实施意见》落地落实。</w:t>
      </w:r>
    </w:p>
    <w:p w14:paraId="7E2F6EB2">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宋体" w:hAnsi="宋体" w:eastAsia="仿宋" w:cs="宋体"/>
          <w:kern w:val="0"/>
          <w:sz w:val="32"/>
          <w:szCs w:val="24"/>
          <w:lang w:val="en-US" w:eastAsia="zh-CN" w:bidi="ar-SA"/>
        </w:rPr>
      </w:pPr>
      <w:r>
        <w:rPr>
          <w:rFonts w:hint="eastAsia" w:ascii="宋体" w:hAnsi="宋体" w:eastAsia="仿宋" w:cs="宋体"/>
          <w:b/>
          <w:bCs/>
          <w:kern w:val="0"/>
          <w:sz w:val="32"/>
          <w:szCs w:val="24"/>
          <w:lang w:val="en-US" w:eastAsia="zh-CN" w:bidi="ar-SA"/>
        </w:rPr>
        <w:t>二是</w:t>
      </w:r>
      <w:r>
        <w:rPr>
          <w:rFonts w:hint="eastAsia" w:ascii="宋体" w:hAnsi="宋体" w:eastAsia="仿宋" w:cs="宋体"/>
          <w:kern w:val="0"/>
          <w:sz w:val="32"/>
          <w:szCs w:val="24"/>
          <w:lang w:val="en-US" w:eastAsia="zh-CN" w:bidi="ar-SA"/>
        </w:rPr>
        <w:t>聚焦能力提升，进一步提升司法公信力。加强对新修订《刑事诉讼法》学习研究，不断提升刑事庭审实质化水平，保障实体公正、程序公正。加强对民商事案件类型案件指导，进一步统一商品房买卖违约金、交通事故赔偿责任、建设工程劳动争议等案件的裁判尺度。积极探索行政非诉执行案件裁执分离模式，加强司法审查与行政强制执行合力，助推行政执法工作高效运行。</w:t>
      </w:r>
    </w:p>
    <w:p w14:paraId="321A153C">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宋体" w:hAnsi="宋体" w:eastAsia="仿宋" w:cs="宋体"/>
          <w:kern w:val="0"/>
          <w:sz w:val="32"/>
          <w:szCs w:val="24"/>
          <w:lang w:val="en-US" w:eastAsia="zh-CN" w:bidi="ar-SA"/>
        </w:rPr>
      </w:pPr>
      <w:r>
        <w:rPr>
          <w:rFonts w:hint="eastAsia" w:ascii="宋体" w:hAnsi="宋体" w:eastAsia="仿宋" w:cs="宋体"/>
          <w:b/>
          <w:bCs/>
          <w:kern w:val="0"/>
          <w:sz w:val="32"/>
          <w:szCs w:val="24"/>
          <w:lang w:val="en-US" w:eastAsia="zh-CN" w:bidi="ar-SA"/>
        </w:rPr>
        <w:t>三是</w:t>
      </w:r>
      <w:r>
        <w:rPr>
          <w:rFonts w:hint="eastAsia" w:ascii="宋体" w:hAnsi="宋体" w:eastAsia="仿宋" w:cs="宋体"/>
          <w:kern w:val="0"/>
          <w:sz w:val="32"/>
          <w:szCs w:val="24"/>
          <w:lang w:val="en-US" w:eastAsia="zh-CN" w:bidi="ar-SA"/>
        </w:rPr>
        <w:t>关注民生实事，进一步增进群众获得感。把扫黑除恶工作向纵深推进，从严从快审理涉黑恶势力犯罪，深入摸排黑恶势力背后“关系网”“保护伞”线索，及时移交纪检监察机关。对行政案件集中管辖“广安经验”实现再深化、再探索，计划与各区、市、县政府主动衔接并联合出台意见，将行政机关负责人出庭应诉纳入法治化轨道。</w:t>
      </w:r>
    </w:p>
    <w:p w14:paraId="7989B25A">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方正仿宋_GBK" w:hAnsi="方正仿宋_GBK" w:eastAsia="方正仿宋_GBK" w:cs="方正仿宋_GBK"/>
          <w:sz w:val="33"/>
          <w:szCs w:val="33"/>
          <w:lang w:val="en-US" w:eastAsia="zh-CN"/>
        </w:rPr>
      </w:pPr>
      <w:r>
        <w:rPr>
          <w:rFonts w:hint="eastAsia" w:ascii="宋体" w:hAnsi="宋体" w:eastAsia="仿宋" w:cs="宋体"/>
          <w:b/>
          <w:bCs/>
          <w:kern w:val="0"/>
          <w:sz w:val="32"/>
          <w:szCs w:val="24"/>
          <w:lang w:val="en-US" w:eastAsia="zh-CN" w:bidi="ar-SA"/>
        </w:rPr>
        <w:t>四是</w:t>
      </w:r>
      <w:r>
        <w:rPr>
          <w:rFonts w:hint="eastAsia" w:ascii="宋体" w:hAnsi="宋体" w:eastAsia="仿宋" w:cs="宋体"/>
          <w:kern w:val="0"/>
          <w:sz w:val="32"/>
          <w:szCs w:val="24"/>
          <w:lang w:val="en-US" w:eastAsia="zh-CN" w:bidi="ar-SA"/>
        </w:rPr>
        <w:t>深化改革创新，进一步激活内生动力。逐步完善案件繁简分流分案机制，细化案件认定标准，实现简案快审、难案精审。探索设立律师调解工作室，发挥好律师参与诉源治理和化解涉诉信访案件的积极作用。探索建立对第三方评估、鉴定、拍卖机构的考核退出机制。加快推进智慧法院建设，提升司法能力现代化水平。进一步提升网上立案率，提高诉讼效率。</w:t>
      </w:r>
    </w:p>
    <w:p w14:paraId="75E30AA6">
      <w:pPr>
        <w:pStyle w:val="2"/>
        <w:rPr>
          <w:rFonts w:hint="eastAsia"/>
          <w:lang w:val="en-US" w:eastAsia="zh-CN"/>
        </w:rPr>
      </w:pPr>
    </w:p>
    <w:p w14:paraId="575461F1">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14:paraId="7795B364">
      <w:pPr>
        <w:keepNext w:val="0"/>
        <w:keepLines w:val="0"/>
        <w:pageBreakBefore w:val="0"/>
        <w:widowControl w:val="0"/>
        <w:kinsoku/>
        <w:wordWrap/>
        <w:overflowPunct/>
        <w:topLinePunct w:val="0"/>
        <w:autoSpaceDE/>
        <w:autoSpaceDN/>
        <w:bidi w:val="0"/>
        <w:adjustRightInd/>
        <w:snapToGrid/>
        <w:spacing w:line="590" w:lineRule="exact"/>
        <w:ind w:right="0" w:rightChars="0" w:firstLine="663" w:firstLineChars="200"/>
        <w:textAlignment w:val="auto"/>
        <w:rPr>
          <w:rFonts w:hint="eastAsia" w:ascii="方正仿宋_GBK" w:hAnsi="方正仿宋_GBK" w:eastAsia="方正仿宋_GBK" w:cs="方正仿宋_GBK"/>
          <w:sz w:val="33"/>
          <w:szCs w:val="33"/>
          <w:lang w:val="en-US" w:eastAsia="zh-CN"/>
        </w:rPr>
      </w:pPr>
      <w:r>
        <w:rPr>
          <w:rFonts w:hint="eastAsia" w:ascii="方正楷体_GBK" w:hAnsi="方正楷体_GBK" w:eastAsia="方正楷体_GBK" w:cs="方正楷体_GBK"/>
          <w:b/>
          <w:bCs/>
          <w:sz w:val="33"/>
          <w:szCs w:val="33"/>
          <w:lang w:val="en-US" w:eastAsia="zh-CN"/>
        </w:rPr>
        <w:t>（一）评价结论。</w:t>
      </w:r>
      <w:r>
        <w:rPr>
          <w:rFonts w:hint="eastAsia" w:ascii="方正仿宋_GBK" w:hAnsi="方正仿宋_GBK" w:eastAsia="方正仿宋_GBK" w:cs="方正仿宋_GBK"/>
          <w:sz w:val="33"/>
          <w:szCs w:val="33"/>
          <w:lang w:val="en-US" w:eastAsia="zh-CN"/>
        </w:rPr>
        <w:t>我单位严格按照财政部门要求，结合单位实际，全年单位财政资金支出管理基本按照预算执行。自查、自评结果为优。</w:t>
      </w:r>
    </w:p>
    <w:p w14:paraId="48B5641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5"/>
        <w:textAlignment w:val="auto"/>
        <w:rPr>
          <w:rFonts w:hint="eastAsia" w:ascii="方正仿宋_GBK" w:hAnsi="方正仿宋_GBK" w:eastAsia="方正仿宋_GBK" w:cs="方正仿宋_GBK"/>
          <w:sz w:val="33"/>
          <w:szCs w:val="33"/>
          <w:lang w:val="en-US" w:eastAsia="zh-CN"/>
        </w:rPr>
      </w:pPr>
      <w:r>
        <w:rPr>
          <w:rFonts w:hint="eastAsia" w:ascii="方正楷体_GBK" w:hAnsi="方正楷体_GBK" w:eastAsia="方正楷体_GBK" w:cs="方正楷体_GBK"/>
          <w:b/>
          <w:bCs/>
          <w:sz w:val="33"/>
          <w:szCs w:val="33"/>
          <w:lang w:val="en-US" w:eastAsia="zh-CN"/>
        </w:rPr>
        <w:t>（二）存在问题。</w:t>
      </w:r>
      <w:r>
        <w:rPr>
          <w:rFonts w:hint="eastAsia" w:ascii="方正仿宋_GBK" w:hAnsi="方正仿宋_GBK" w:eastAsia="方正仿宋_GBK" w:cs="方正仿宋_GBK"/>
          <w:sz w:val="33"/>
          <w:szCs w:val="33"/>
          <w:lang w:val="en-US" w:eastAsia="zh-CN"/>
        </w:rPr>
        <w:t>财务人员业务知识有待提高，按财经纪律要求规范财务管理。</w:t>
      </w:r>
    </w:p>
    <w:p w14:paraId="56088A7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5"/>
        <w:textAlignment w:val="auto"/>
        <w:rPr>
          <w:rFonts w:hint="eastAsia" w:ascii="方正仿宋_GBK" w:hAnsi="方正仿宋_GBK" w:eastAsia="方正仿宋_GBK" w:cs="方正仿宋_GBK"/>
          <w:sz w:val="33"/>
          <w:szCs w:val="33"/>
          <w:lang w:val="en-US" w:eastAsia="zh-CN"/>
        </w:rPr>
      </w:pPr>
      <w:r>
        <w:rPr>
          <w:rFonts w:hint="eastAsia" w:ascii="方正楷体_GBK" w:hAnsi="方正楷体_GBK" w:eastAsia="方正楷体_GBK" w:cs="方正楷体_GBK"/>
          <w:b/>
          <w:bCs/>
          <w:sz w:val="33"/>
          <w:szCs w:val="33"/>
          <w:lang w:val="en-US" w:eastAsia="zh-CN"/>
        </w:rPr>
        <w:t>（三）改进建议。</w:t>
      </w:r>
      <w:r>
        <w:rPr>
          <w:rFonts w:hint="eastAsia" w:ascii="方正仿宋_GBK" w:hAnsi="方正仿宋_GBK" w:eastAsia="方正仿宋_GBK" w:cs="方正仿宋_GBK"/>
          <w:sz w:val="33"/>
          <w:szCs w:val="33"/>
          <w:lang w:val="en-US" w:eastAsia="zh-CN"/>
        </w:rPr>
        <w:t>一是财务人员要不断学习业务知识，提高自身业务能力；二是要多交流，和其他部门多联系，互相学习，共同提高；三是要严格执行财经纪律，自觉遵守财务管理制度；四是要继续执行好政府采购制度。</w:t>
      </w:r>
    </w:p>
    <w:p w14:paraId="401F7A1E">
      <w:pPr>
        <w:spacing w:line="580" w:lineRule="exact"/>
        <w:ind w:firstLine="640" w:firstLineChars="200"/>
        <w:rPr>
          <w:rFonts w:ascii="仿宋" w:hAnsi="仿宋" w:eastAsia="仿宋" w:cs="仿宋_GB2312"/>
          <w:sz w:val="32"/>
          <w:szCs w:val="32"/>
        </w:rPr>
      </w:pPr>
    </w:p>
    <w:p w14:paraId="72BDDDDD">
      <w:pPr>
        <w:widowControl/>
        <w:jc w:val="left"/>
        <w:rPr>
          <w:rFonts w:ascii="仿宋_GB2312" w:hAnsi="仿宋_GB2312" w:eastAsia="仿宋_GB2312" w:cs="仿宋_GB2312"/>
          <w:sz w:val="32"/>
          <w:szCs w:val="32"/>
        </w:rPr>
      </w:pPr>
    </w:p>
    <w:p w14:paraId="3F406542">
      <w:pPr>
        <w:pStyle w:val="2"/>
        <w:rPr>
          <w:rFonts w:ascii="仿宋_GB2312" w:hAnsi="仿宋_GB2312" w:eastAsia="仿宋_GB2312" w:cs="仿宋_GB2312"/>
          <w:sz w:val="32"/>
          <w:szCs w:val="32"/>
        </w:rPr>
      </w:pPr>
    </w:p>
    <w:p w14:paraId="0372222C">
      <w:pPr>
        <w:pStyle w:val="2"/>
        <w:rPr>
          <w:rFonts w:ascii="仿宋_GB2312" w:hAnsi="仿宋_GB2312" w:eastAsia="仿宋_GB2312" w:cs="仿宋_GB2312"/>
          <w:sz w:val="32"/>
          <w:szCs w:val="32"/>
        </w:rPr>
      </w:pPr>
    </w:p>
    <w:p w14:paraId="0C58B036">
      <w:pPr>
        <w:spacing w:line="600" w:lineRule="exact"/>
        <w:jc w:val="center"/>
        <w:outlineLvl w:val="0"/>
        <w:rPr>
          <w:rStyle w:val="26"/>
          <w:rFonts w:ascii="黑体" w:hAnsi="黑体" w:eastAsia="黑体"/>
          <w:b w:val="0"/>
        </w:rPr>
      </w:pPr>
      <w:bookmarkStart w:id="57"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54"/>
      <w:bookmarkEnd w:id="57"/>
    </w:p>
    <w:p w14:paraId="70D5ED6C">
      <w:pPr>
        <w:spacing w:line="600" w:lineRule="exact"/>
        <w:jc w:val="center"/>
        <w:outlineLvl w:val="0"/>
        <w:rPr>
          <w:rFonts w:ascii="仿宋" w:hAnsi="仿宋" w:eastAsia="仿宋"/>
          <w:b/>
          <w:color w:val="000000"/>
          <w:sz w:val="44"/>
          <w:szCs w:val="44"/>
        </w:rPr>
      </w:pPr>
    </w:p>
    <w:p w14:paraId="5DD076D0">
      <w:pPr>
        <w:pStyle w:val="4"/>
        <w:rPr>
          <w:rFonts w:ascii="仿宋" w:hAnsi="仿宋" w:eastAsia="仿宋"/>
          <w:color w:val="000000"/>
        </w:rPr>
      </w:pPr>
      <w:bookmarkStart w:id="58"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58"/>
    </w:p>
    <w:p w14:paraId="766ADB55">
      <w:pPr>
        <w:pStyle w:val="4"/>
        <w:rPr>
          <w:rFonts w:ascii="仿宋" w:hAnsi="仿宋" w:eastAsia="仿宋"/>
          <w:color w:val="000000"/>
        </w:rPr>
      </w:pPr>
      <w:bookmarkStart w:id="59" w:name="_Toc15396620"/>
      <w:r>
        <w:rPr>
          <w:rFonts w:hint="eastAsia" w:ascii="仿宋" w:hAnsi="仿宋" w:eastAsia="仿宋"/>
          <w:b w:val="0"/>
          <w:color w:val="000000"/>
        </w:rPr>
        <w:t>二、收</w:t>
      </w:r>
      <w:r>
        <w:rPr>
          <w:rStyle w:val="27"/>
          <w:rFonts w:hint="eastAsia" w:ascii="仿宋" w:hAnsi="仿宋" w:eastAsia="仿宋"/>
          <w:b w:val="0"/>
          <w:bCs w:val="0"/>
        </w:rPr>
        <w:t>入总表</w:t>
      </w:r>
      <w:bookmarkEnd w:id="59"/>
    </w:p>
    <w:p w14:paraId="4F378716">
      <w:pPr>
        <w:pStyle w:val="4"/>
        <w:rPr>
          <w:rFonts w:ascii="仿宋" w:hAnsi="仿宋" w:eastAsia="仿宋"/>
          <w:color w:val="000000"/>
        </w:rPr>
      </w:pPr>
      <w:bookmarkStart w:id="60"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出总表</w:t>
      </w:r>
      <w:bookmarkEnd w:id="60"/>
    </w:p>
    <w:p w14:paraId="7A551582">
      <w:pPr>
        <w:pStyle w:val="4"/>
        <w:rPr>
          <w:rFonts w:ascii="仿宋" w:hAnsi="仿宋" w:eastAsia="仿宋"/>
          <w:b w:val="0"/>
          <w:color w:val="000000"/>
        </w:rPr>
      </w:pPr>
      <w:bookmarkStart w:id="61"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61"/>
    </w:p>
    <w:p w14:paraId="78AFD8E2">
      <w:pPr>
        <w:pStyle w:val="4"/>
        <w:rPr>
          <w:rFonts w:ascii="仿宋" w:hAnsi="仿宋" w:eastAsia="仿宋"/>
          <w:color w:val="000000"/>
        </w:rPr>
      </w:pPr>
      <w:bookmarkStart w:id="62"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政拨款支出决算明细表（政府经济分类科目）</w:t>
      </w:r>
      <w:bookmarkEnd w:id="62"/>
    </w:p>
    <w:p w14:paraId="1BB40781">
      <w:pPr>
        <w:pStyle w:val="4"/>
        <w:rPr>
          <w:rFonts w:ascii="仿宋" w:hAnsi="仿宋" w:eastAsia="仿宋"/>
          <w:color w:val="000000"/>
        </w:rPr>
      </w:pPr>
      <w:bookmarkStart w:id="63" w:name="_Toc15396624"/>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3"/>
    </w:p>
    <w:p w14:paraId="1D05CF92">
      <w:pPr>
        <w:pStyle w:val="4"/>
        <w:rPr>
          <w:rFonts w:ascii="仿宋" w:hAnsi="仿宋" w:eastAsia="仿宋"/>
          <w:color w:val="000000"/>
        </w:rPr>
      </w:pPr>
      <w:bookmarkStart w:id="64"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4"/>
    </w:p>
    <w:p w14:paraId="48000DC3">
      <w:pPr>
        <w:pStyle w:val="4"/>
        <w:rPr>
          <w:rFonts w:ascii="仿宋" w:hAnsi="仿宋" w:eastAsia="仿宋"/>
          <w:color w:val="000000"/>
        </w:rPr>
      </w:pPr>
      <w:bookmarkStart w:id="65"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5"/>
    </w:p>
    <w:p w14:paraId="61A95082">
      <w:pPr>
        <w:pStyle w:val="4"/>
        <w:rPr>
          <w:rFonts w:ascii="仿宋" w:hAnsi="仿宋" w:eastAsia="仿宋"/>
          <w:color w:val="000000"/>
        </w:rPr>
      </w:pPr>
      <w:bookmarkStart w:id="66"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66"/>
    </w:p>
    <w:p w14:paraId="6B1EA0A4">
      <w:pPr>
        <w:pStyle w:val="4"/>
        <w:rPr>
          <w:rFonts w:ascii="仿宋" w:hAnsi="仿宋" w:eastAsia="仿宋"/>
          <w:color w:val="000000"/>
        </w:rPr>
      </w:pPr>
      <w:bookmarkStart w:id="67"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67"/>
    </w:p>
    <w:p w14:paraId="4F9A2CC5">
      <w:pPr>
        <w:pStyle w:val="4"/>
        <w:rPr>
          <w:rFonts w:ascii="仿宋" w:hAnsi="仿宋" w:eastAsia="仿宋"/>
          <w:color w:val="000000"/>
        </w:rPr>
      </w:pPr>
      <w:bookmarkStart w:id="68"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68"/>
    </w:p>
    <w:p w14:paraId="1148BE2E">
      <w:pPr>
        <w:pStyle w:val="4"/>
        <w:rPr>
          <w:rFonts w:ascii="仿宋" w:hAnsi="仿宋" w:eastAsia="仿宋"/>
          <w:color w:val="000000"/>
        </w:rPr>
      </w:pPr>
      <w:bookmarkStart w:id="69"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69"/>
    </w:p>
    <w:p w14:paraId="6E14413D">
      <w:pPr>
        <w:pStyle w:val="4"/>
        <w:rPr>
          <w:rFonts w:ascii="仿宋" w:hAnsi="仿宋" w:eastAsia="仿宋"/>
          <w:color w:val="000000" w:themeColor="text1"/>
        </w:rPr>
      </w:pPr>
      <w:bookmarkStart w:id="70"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FD70408">
        <w:pPr>
          <w:pStyle w:val="2"/>
          <w:jc w:val="center"/>
        </w:pPr>
        <w:r>
          <w:fldChar w:fldCharType="begin"/>
        </w:r>
        <w:r>
          <w:instrText xml:space="preserve">PAGE   \* MERGEFORMAT</w:instrText>
        </w:r>
        <w:r>
          <w:fldChar w:fldCharType="separate"/>
        </w:r>
        <w:r>
          <w:rPr>
            <w:lang w:val="zh-CN"/>
          </w:rPr>
          <w:t>21</w:t>
        </w:r>
        <w:r>
          <w:fldChar w:fldCharType="end"/>
        </w:r>
      </w:p>
    </w:sdtContent>
  </w:sdt>
  <w:p w14:paraId="6DCAC23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BF89">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12D4C54"/>
    <w:multiLevelType w:val="singleLevel"/>
    <w:tmpl w:val="512D4C54"/>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58B0"/>
    <w:rsid w:val="0014729F"/>
    <w:rsid w:val="00157BAB"/>
    <w:rsid w:val="001654D1"/>
    <w:rsid w:val="0018106D"/>
    <w:rsid w:val="001873E3"/>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2F7F38"/>
    <w:rsid w:val="003216A9"/>
    <w:rsid w:val="00324D93"/>
    <w:rsid w:val="003514BF"/>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178B"/>
    <w:rsid w:val="005664BB"/>
    <w:rsid w:val="0057481D"/>
    <w:rsid w:val="0058486E"/>
    <w:rsid w:val="005B3ECD"/>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776C1"/>
    <w:rsid w:val="00683E73"/>
    <w:rsid w:val="006A3141"/>
    <w:rsid w:val="006A5E34"/>
    <w:rsid w:val="006B2422"/>
    <w:rsid w:val="006B2B9A"/>
    <w:rsid w:val="006C0E53"/>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2A59"/>
    <w:rsid w:val="008B768C"/>
    <w:rsid w:val="008C4DB1"/>
    <w:rsid w:val="008C4EAF"/>
    <w:rsid w:val="008C5176"/>
    <w:rsid w:val="008C7FD0"/>
    <w:rsid w:val="008E1DE7"/>
    <w:rsid w:val="008E707C"/>
    <w:rsid w:val="008F3ACD"/>
    <w:rsid w:val="00900B08"/>
    <w:rsid w:val="00902155"/>
    <w:rsid w:val="00902FA3"/>
    <w:rsid w:val="0091569A"/>
    <w:rsid w:val="00923564"/>
    <w:rsid w:val="0092392E"/>
    <w:rsid w:val="009315F9"/>
    <w:rsid w:val="00933AFE"/>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27"/>
    <w:rsid w:val="00A13CC1"/>
    <w:rsid w:val="00A16847"/>
    <w:rsid w:val="00A237D8"/>
    <w:rsid w:val="00A268C4"/>
    <w:rsid w:val="00A307CD"/>
    <w:rsid w:val="00A40A00"/>
    <w:rsid w:val="00A4142F"/>
    <w:rsid w:val="00A51BAF"/>
    <w:rsid w:val="00A56DF2"/>
    <w:rsid w:val="00A62CB9"/>
    <w:rsid w:val="00A67AB5"/>
    <w:rsid w:val="00A774A5"/>
    <w:rsid w:val="00A91760"/>
    <w:rsid w:val="00A93B00"/>
    <w:rsid w:val="00A93C21"/>
    <w:rsid w:val="00AC3C6A"/>
    <w:rsid w:val="00AD5620"/>
    <w:rsid w:val="00AD7C1B"/>
    <w:rsid w:val="00AE16BA"/>
    <w:rsid w:val="00AE1EBE"/>
    <w:rsid w:val="00AF15C8"/>
    <w:rsid w:val="00B03C9D"/>
    <w:rsid w:val="00B060AE"/>
    <w:rsid w:val="00B10517"/>
    <w:rsid w:val="00B14E76"/>
    <w:rsid w:val="00B161B8"/>
    <w:rsid w:val="00B2048C"/>
    <w:rsid w:val="00B260D9"/>
    <w:rsid w:val="00B26FBB"/>
    <w:rsid w:val="00B310B9"/>
    <w:rsid w:val="00B34320"/>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CF2382"/>
    <w:rsid w:val="00D00095"/>
    <w:rsid w:val="00D20620"/>
    <w:rsid w:val="00D26091"/>
    <w:rsid w:val="00D34E7C"/>
    <w:rsid w:val="00D35489"/>
    <w:rsid w:val="00D51276"/>
    <w:rsid w:val="00D63056"/>
    <w:rsid w:val="00D7035F"/>
    <w:rsid w:val="00DA65AC"/>
    <w:rsid w:val="00DB1913"/>
    <w:rsid w:val="00DB7DBC"/>
    <w:rsid w:val="00DC410D"/>
    <w:rsid w:val="00DC68CA"/>
    <w:rsid w:val="00DC7CBA"/>
    <w:rsid w:val="00DD73B7"/>
    <w:rsid w:val="00DF28BC"/>
    <w:rsid w:val="00DF34B9"/>
    <w:rsid w:val="00E01053"/>
    <w:rsid w:val="00E07ACF"/>
    <w:rsid w:val="00E331A1"/>
    <w:rsid w:val="00E33202"/>
    <w:rsid w:val="00E336A9"/>
    <w:rsid w:val="00E50624"/>
    <w:rsid w:val="00E568DF"/>
    <w:rsid w:val="00E576C5"/>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6518D4"/>
    <w:rsid w:val="019D020D"/>
    <w:rsid w:val="026E13E3"/>
    <w:rsid w:val="04906E08"/>
    <w:rsid w:val="05665609"/>
    <w:rsid w:val="05680E80"/>
    <w:rsid w:val="056F2DD7"/>
    <w:rsid w:val="06053DCB"/>
    <w:rsid w:val="0670344A"/>
    <w:rsid w:val="07164E2C"/>
    <w:rsid w:val="07BB7216"/>
    <w:rsid w:val="07CA049A"/>
    <w:rsid w:val="07D76440"/>
    <w:rsid w:val="07FC6A07"/>
    <w:rsid w:val="080B15C5"/>
    <w:rsid w:val="08627A7D"/>
    <w:rsid w:val="08DB785C"/>
    <w:rsid w:val="091F6460"/>
    <w:rsid w:val="0938401C"/>
    <w:rsid w:val="09502692"/>
    <w:rsid w:val="096D4650"/>
    <w:rsid w:val="09750786"/>
    <w:rsid w:val="09C6465D"/>
    <w:rsid w:val="0A5C175F"/>
    <w:rsid w:val="0A81165A"/>
    <w:rsid w:val="0AAE1F42"/>
    <w:rsid w:val="0ABD1E27"/>
    <w:rsid w:val="0B31254E"/>
    <w:rsid w:val="0B81130F"/>
    <w:rsid w:val="0BA93787"/>
    <w:rsid w:val="0C8A48B9"/>
    <w:rsid w:val="0CB5560E"/>
    <w:rsid w:val="0CC854AF"/>
    <w:rsid w:val="0CD87849"/>
    <w:rsid w:val="0D141724"/>
    <w:rsid w:val="0D63596C"/>
    <w:rsid w:val="0E1D0A37"/>
    <w:rsid w:val="0E482ABA"/>
    <w:rsid w:val="0EE309CF"/>
    <w:rsid w:val="0EE6339E"/>
    <w:rsid w:val="0FB61FCB"/>
    <w:rsid w:val="0FC94BB8"/>
    <w:rsid w:val="0FF03ECF"/>
    <w:rsid w:val="1082456E"/>
    <w:rsid w:val="10A61824"/>
    <w:rsid w:val="10C055FF"/>
    <w:rsid w:val="10E11385"/>
    <w:rsid w:val="12301974"/>
    <w:rsid w:val="126F1963"/>
    <w:rsid w:val="128E5591"/>
    <w:rsid w:val="12FF0DFF"/>
    <w:rsid w:val="1323337C"/>
    <w:rsid w:val="14217DBC"/>
    <w:rsid w:val="14786DF2"/>
    <w:rsid w:val="14CC5179"/>
    <w:rsid w:val="150563D7"/>
    <w:rsid w:val="166447A8"/>
    <w:rsid w:val="16BB723D"/>
    <w:rsid w:val="17A66B6C"/>
    <w:rsid w:val="17E00E27"/>
    <w:rsid w:val="185E5F0D"/>
    <w:rsid w:val="18CA50DD"/>
    <w:rsid w:val="192D4B0A"/>
    <w:rsid w:val="19782B7D"/>
    <w:rsid w:val="197F039C"/>
    <w:rsid w:val="19AE3228"/>
    <w:rsid w:val="1A1A4BEF"/>
    <w:rsid w:val="1A6608C1"/>
    <w:rsid w:val="1AD309C3"/>
    <w:rsid w:val="1AE770A8"/>
    <w:rsid w:val="1AF00C3F"/>
    <w:rsid w:val="1AF02367"/>
    <w:rsid w:val="1B3C206C"/>
    <w:rsid w:val="1B423C88"/>
    <w:rsid w:val="1BFF3FD2"/>
    <w:rsid w:val="1C7D4DBE"/>
    <w:rsid w:val="1C9539B6"/>
    <w:rsid w:val="1CA465D6"/>
    <w:rsid w:val="1CB50AF6"/>
    <w:rsid w:val="1D0926D8"/>
    <w:rsid w:val="1D3D325D"/>
    <w:rsid w:val="1D5C6920"/>
    <w:rsid w:val="1D7E1B8A"/>
    <w:rsid w:val="1D871976"/>
    <w:rsid w:val="1DC70C3D"/>
    <w:rsid w:val="1E592A71"/>
    <w:rsid w:val="1E5B574C"/>
    <w:rsid w:val="1E774B19"/>
    <w:rsid w:val="1FAD4B5E"/>
    <w:rsid w:val="200D08C5"/>
    <w:rsid w:val="2011450B"/>
    <w:rsid w:val="202920F5"/>
    <w:rsid w:val="204978C9"/>
    <w:rsid w:val="204C32BC"/>
    <w:rsid w:val="20F14F56"/>
    <w:rsid w:val="20F73A71"/>
    <w:rsid w:val="21013642"/>
    <w:rsid w:val="221833EE"/>
    <w:rsid w:val="23072046"/>
    <w:rsid w:val="23396B0C"/>
    <w:rsid w:val="234E1921"/>
    <w:rsid w:val="240371BF"/>
    <w:rsid w:val="24A57890"/>
    <w:rsid w:val="24D65456"/>
    <w:rsid w:val="2587478A"/>
    <w:rsid w:val="25AF5F5F"/>
    <w:rsid w:val="25C81910"/>
    <w:rsid w:val="25CD34A7"/>
    <w:rsid w:val="266409A7"/>
    <w:rsid w:val="274B1A23"/>
    <w:rsid w:val="279A2D8B"/>
    <w:rsid w:val="27C509F4"/>
    <w:rsid w:val="27F64446"/>
    <w:rsid w:val="28D263A4"/>
    <w:rsid w:val="28E430DB"/>
    <w:rsid w:val="29681010"/>
    <w:rsid w:val="29C100EB"/>
    <w:rsid w:val="29FD04D3"/>
    <w:rsid w:val="2AFB3E8A"/>
    <w:rsid w:val="2B2321ED"/>
    <w:rsid w:val="2BCC6816"/>
    <w:rsid w:val="2C731283"/>
    <w:rsid w:val="2CDD568C"/>
    <w:rsid w:val="2D0D150B"/>
    <w:rsid w:val="2D572FED"/>
    <w:rsid w:val="2DBB77E4"/>
    <w:rsid w:val="2EF07F24"/>
    <w:rsid w:val="2F276F76"/>
    <w:rsid w:val="30671C33"/>
    <w:rsid w:val="30830D6D"/>
    <w:rsid w:val="311E4CC4"/>
    <w:rsid w:val="31264DB3"/>
    <w:rsid w:val="319F7F4E"/>
    <w:rsid w:val="320B5BBB"/>
    <w:rsid w:val="326547E0"/>
    <w:rsid w:val="32A3760D"/>
    <w:rsid w:val="33A326E3"/>
    <w:rsid w:val="33A43D1B"/>
    <w:rsid w:val="33FF0876"/>
    <w:rsid w:val="34B5613E"/>
    <w:rsid w:val="35557B64"/>
    <w:rsid w:val="35F50EDF"/>
    <w:rsid w:val="36684113"/>
    <w:rsid w:val="36B92E40"/>
    <w:rsid w:val="36DB765E"/>
    <w:rsid w:val="36E52D78"/>
    <w:rsid w:val="379F191A"/>
    <w:rsid w:val="38157F43"/>
    <w:rsid w:val="387A53A2"/>
    <w:rsid w:val="38B068D2"/>
    <w:rsid w:val="3921257D"/>
    <w:rsid w:val="39521163"/>
    <w:rsid w:val="39591230"/>
    <w:rsid w:val="39CF559D"/>
    <w:rsid w:val="3A4B69C9"/>
    <w:rsid w:val="3A5E5FD2"/>
    <w:rsid w:val="3B540FB8"/>
    <w:rsid w:val="3BE32EEC"/>
    <w:rsid w:val="3C110791"/>
    <w:rsid w:val="3C3030B1"/>
    <w:rsid w:val="3C470B98"/>
    <w:rsid w:val="3CC14590"/>
    <w:rsid w:val="3CED456E"/>
    <w:rsid w:val="3D1F26A6"/>
    <w:rsid w:val="3D6C123C"/>
    <w:rsid w:val="3DC43237"/>
    <w:rsid w:val="3E437624"/>
    <w:rsid w:val="3EA65D93"/>
    <w:rsid w:val="3F553F84"/>
    <w:rsid w:val="3F575F3F"/>
    <w:rsid w:val="3F5F08F0"/>
    <w:rsid w:val="3FC55605"/>
    <w:rsid w:val="40F406B1"/>
    <w:rsid w:val="41283F2D"/>
    <w:rsid w:val="41AE4F5B"/>
    <w:rsid w:val="42626A7E"/>
    <w:rsid w:val="427573B9"/>
    <w:rsid w:val="42975CC0"/>
    <w:rsid w:val="42FC7EEE"/>
    <w:rsid w:val="43406EA5"/>
    <w:rsid w:val="43640C8D"/>
    <w:rsid w:val="43726164"/>
    <w:rsid w:val="4395586C"/>
    <w:rsid w:val="453F22AB"/>
    <w:rsid w:val="4543723E"/>
    <w:rsid w:val="45E92037"/>
    <w:rsid w:val="45F533FF"/>
    <w:rsid w:val="45F67999"/>
    <w:rsid w:val="46707414"/>
    <w:rsid w:val="46761096"/>
    <w:rsid w:val="46B56547"/>
    <w:rsid w:val="47934A31"/>
    <w:rsid w:val="483F6E38"/>
    <w:rsid w:val="48906FA0"/>
    <w:rsid w:val="49542693"/>
    <w:rsid w:val="49FB098E"/>
    <w:rsid w:val="4A7429C3"/>
    <w:rsid w:val="4B9922DA"/>
    <w:rsid w:val="4BA921D2"/>
    <w:rsid w:val="4C1572FA"/>
    <w:rsid w:val="4C2557A1"/>
    <w:rsid w:val="4C642CE8"/>
    <w:rsid w:val="4C760694"/>
    <w:rsid w:val="4C7C5968"/>
    <w:rsid w:val="4C866024"/>
    <w:rsid w:val="4D78509A"/>
    <w:rsid w:val="4D7F2D1C"/>
    <w:rsid w:val="4DD80E3E"/>
    <w:rsid w:val="4DDE6AAC"/>
    <w:rsid w:val="4E570E02"/>
    <w:rsid w:val="4F8605B0"/>
    <w:rsid w:val="5019773A"/>
    <w:rsid w:val="50904919"/>
    <w:rsid w:val="51302B71"/>
    <w:rsid w:val="51AE148F"/>
    <w:rsid w:val="521305F1"/>
    <w:rsid w:val="52B9593E"/>
    <w:rsid w:val="52BA47EA"/>
    <w:rsid w:val="52F265D6"/>
    <w:rsid w:val="53611C44"/>
    <w:rsid w:val="54AF45F1"/>
    <w:rsid w:val="553F1ED1"/>
    <w:rsid w:val="5563759E"/>
    <w:rsid w:val="567D2FAC"/>
    <w:rsid w:val="569D4BAD"/>
    <w:rsid w:val="56E57E86"/>
    <w:rsid w:val="577F3753"/>
    <w:rsid w:val="57977A37"/>
    <w:rsid w:val="585C7890"/>
    <w:rsid w:val="58934F0E"/>
    <w:rsid w:val="598C7D37"/>
    <w:rsid w:val="5A8674B7"/>
    <w:rsid w:val="5B0524DB"/>
    <w:rsid w:val="5B127621"/>
    <w:rsid w:val="5B722BD2"/>
    <w:rsid w:val="5BB243CD"/>
    <w:rsid w:val="5BC72F5C"/>
    <w:rsid w:val="5C0A446A"/>
    <w:rsid w:val="5CB55867"/>
    <w:rsid w:val="5CC529DE"/>
    <w:rsid w:val="5CF43801"/>
    <w:rsid w:val="5D0E3085"/>
    <w:rsid w:val="5DC429DB"/>
    <w:rsid w:val="5DD53F16"/>
    <w:rsid w:val="5EC04069"/>
    <w:rsid w:val="5F130570"/>
    <w:rsid w:val="5F3C2C4C"/>
    <w:rsid w:val="5FE83DDC"/>
    <w:rsid w:val="5FFD314F"/>
    <w:rsid w:val="602C7B0A"/>
    <w:rsid w:val="60800141"/>
    <w:rsid w:val="60D51BAD"/>
    <w:rsid w:val="614C380B"/>
    <w:rsid w:val="61660953"/>
    <w:rsid w:val="61787CCC"/>
    <w:rsid w:val="618E7474"/>
    <w:rsid w:val="61CC2AD1"/>
    <w:rsid w:val="61F90DDB"/>
    <w:rsid w:val="6299211C"/>
    <w:rsid w:val="634A698B"/>
    <w:rsid w:val="634B3D11"/>
    <w:rsid w:val="634E7453"/>
    <w:rsid w:val="63B2569E"/>
    <w:rsid w:val="63E262CC"/>
    <w:rsid w:val="64875955"/>
    <w:rsid w:val="648F372B"/>
    <w:rsid w:val="64ED02C6"/>
    <w:rsid w:val="64FD6E47"/>
    <w:rsid w:val="656D265D"/>
    <w:rsid w:val="65E965C1"/>
    <w:rsid w:val="66252916"/>
    <w:rsid w:val="666C38FC"/>
    <w:rsid w:val="67281B3B"/>
    <w:rsid w:val="67595EDB"/>
    <w:rsid w:val="67880D72"/>
    <w:rsid w:val="67C42A8D"/>
    <w:rsid w:val="67D15BEF"/>
    <w:rsid w:val="681F5675"/>
    <w:rsid w:val="6A023EA5"/>
    <w:rsid w:val="6A2B1D02"/>
    <w:rsid w:val="6A6A03D2"/>
    <w:rsid w:val="6A8675DF"/>
    <w:rsid w:val="6AE16007"/>
    <w:rsid w:val="6B2F5F7F"/>
    <w:rsid w:val="6B7D34B9"/>
    <w:rsid w:val="6B922000"/>
    <w:rsid w:val="6BF734A9"/>
    <w:rsid w:val="6C6425DA"/>
    <w:rsid w:val="6CC124CD"/>
    <w:rsid w:val="6F594757"/>
    <w:rsid w:val="6F735A4B"/>
    <w:rsid w:val="6F964DC4"/>
    <w:rsid w:val="6FFD05C9"/>
    <w:rsid w:val="713848F7"/>
    <w:rsid w:val="71744D96"/>
    <w:rsid w:val="71D45B61"/>
    <w:rsid w:val="73520AF6"/>
    <w:rsid w:val="73557246"/>
    <w:rsid w:val="73F53E32"/>
    <w:rsid w:val="75A00DAA"/>
    <w:rsid w:val="7610485C"/>
    <w:rsid w:val="762F6050"/>
    <w:rsid w:val="7636360E"/>
    <w:rsid w:val="77602A5E"/>
    <w:rsid w:val="77CD7FEF"/>
    <w:rsid w:val="78494E0D"/>
    <w:rsid w:val="79550F53"/>
    <w:rsid w:val="797553BA"/>
    <w:rsid w:val="798858BA"/>
    <w:rsid w:val="7A771F91"/>
    <w:rsid w:val="7A7A4B56"/>
    <w:rsid w:val="7A94354D"/>
    <w:rsid w:val="7AF9643C"/>
    <w:rsid w:val="7BF31862"/>
    <w:rsid w:val="7D030AEF"/>
    <w:rsid w:val="7DBB53B8"/>
    <w:rsid w:val="7E545E01"/>
    <w:rsid w:val="7E9F6105"/>
    <w:rsid w:val="7F3D6C86"/>
    <w:rsid w:val="7FE760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unhideWhenUsed/>
    <w:qFormat/>
    <w:uiPriority w:val="99"/>
    <w:rPr>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qFormat/>
    <w:uiPriority w:val="99"/>
    <w:pPr>
      <w:widowControl w:val="0"/>
      <w:spacing w:beforeAutospacing="1" w:afterAutospacing="1"/>
      <w:jc w:val="left"/>
    </w:pPr>
    <w:rPr>
      <w:rFonts w:ascii="Calibri" w:hAnsi="Calibri" w:eastAsia="宋体" w:cs="Times New Roman"/>
      <w:kern w:val="0"/>
      <w:sz w:val="24"/>
      <w:szCs w:val="24"/>
      <w:lang w:val="en-US" w:eastAsia="zh-CN" w:bidi="ar-SA"/>
    </w:rPr>
  </w:style>
  <w:style w:type="character" w:styleId="15">
    <w:name w:val="Strong"/>
    <w:basedOn w:val="14"/>
    <w:qFormat/>
    <w:uiPriority w:val="99"/>
    <w:rPr>
      <w:b/>
    </w:rPr>
  </w:style>
  <w:style w:type="character" w:styleId="16">
    <w:name w:val="FollowedHyperlink"/>
    <w:basedOn w:val="14"/>
    <w:unhideWhenUsed/>
    <w:qFormat/>
    <w:uiPriority w:val="99"/>
    <w:rPr>
      <w:color w:val="2786E4"/>
      <w:u w:val="none"/>
    </w:rPr>
  </w:style>
  <w:style w:type="character" w:styleId="17">
    <w:name w:val="Hyperlink"/>
    <w:basedOn w:val="14"/>
    <w:unhideWhenUsed/>
    <w:qFormat/>
    <w:uiPriority w:val="99"/>
    <w:rPr>
      <w:color w:val="0000FF" w:themeColor="hyperlink"/>
      <w:u w:val="single"/>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2"/>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列出段落1"/>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列出段落111"/>
    <w:basedOn w:val="1"/>
    <w:qFormat/>
    <w:uiPriority w:val="34"/>
    <w:pPr>
      <w:ind w:firstLine="420" w:firstLineChars="200"/>
    </w:pPr>
  </w:style>
  <w:style w:type="character" w:customStyle="1" w:styleId="32">
    <w:name w:val="rec-time"/>
    <w:basedOn w:val="14"/>
    <w:qFormat/>
    <w:uiPriority w:val="0"/>
  </w:style>
  <w:style w:type="character" w:customStyle="1" w:styleId="33">
    <w:name w:val="rec-status-desc"/>
    <w:basedOn w:val="14"/>
    <w:qFormat/>
    <w:uiPriority w:val="0"/>
  </w:style>
  <w:style w:type="character" w:customStyle="1" w:styleId="34">
    <w:name w:val="rec-volume"/>
    <w:basedOn w:val="14"/>
    <w:qFormat/>
    <w:uiPriority w:val="0"/>
  </w:style>
  <w:style w:type="paragraph" w:customStyle="1" w:styleId="35">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本年收入</a:t>
            </a:r>
          </a:p>
        </c:rich>
      </c:tx>
      <c:layout/>
      <c:overlay val="0"/>
      <c:spPr>
        <a:noFill/>
        <a:ln>
          <a:noFill/>
        </a:ln>
        <a:effectLst/>
      </c:spPr>
    </c:title>
    <c:autoTitleDeleted val="0"/>
    <c:plotArea>
      <c:layout/>
      <c:pieChart>
        <c:varyColors val="1"/>
        <c:ser>
          <c:idx val="0"/>
          <c:order val="0"/>
          <c:tx>
            <c:strRef>
              <c:f>Sheet1!$B$1</c:f>
              <c:strCache>
                <c:ptCount val="1"/>
                <c:pt idx="0">
                  <c:v>本年收入</c:v>
                </c:pt>
              </c:strCache>
            </c:strRef>
          </c:tx>
          <c:spPr/>
          <c:explosion val="0"/>
          <c:dPt>
            <c:idx val="0"/>
            <c:bubble3D val="0"/>
            <c:explosion val="3"/>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一般公共预算财政拨款收入</c:v>
                </c:pt>
                <c:pt idx="1">
                  <c:v>政府性基金预算财政拨款收入</c:v>
                </c:pt>
                <c:pt idx="2">
                  <c:v>国有资本经营预算财政拨款收入</c:v>
                </c:pt>
                <c:pt idx="3">
                  <c:v>事业收入</c:v>
                </c:pt>
              </c:strCache>
            </c:strRef>
          </c:cat>
          <c:val>
            <c:numRef>
              <c:f>Sheet1!$B$2:$B$5</c:f>
              <c:numCache>
                <c:formatCode>General</c:formatCode>
                <c:ptCount val="4"/>
                <c:pt idx="0">
                  <c:v>234.75</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a558293-d058-4596-a83e-59a3c5ce191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8724</Words>
  <Characters>9334</Characters>
  <Lines>65</Lines>
  <Paragraphs>18</Paragraphs>
  <TotalTime>66</TotalTime>
  <ScaleCrop>false</ScaleCrop>
  <LinksUpToDate>false</LinksUpToDate>
  <CharactersWithSpaces>9406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2020-08-10T04:06:00Z</dcterms:created>
  <dc:creator>张彬茜</dc:creator>
  <cp:lastModifiedBy>Administrator</cp:lastModifiedBy>
  <cp:lastPrinted>2020-08-10T08:26:00Z</cp:lastPrinted>
  <dcterms:modified xsi:type="dcterms:W3CDTF">2025-02-06T08:28:17Z</dcterms:modified>
  <dc:title>四川省***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eyJoZGlkIjoiNjI1YWE3NjVhOTViMGM2ZjIzOGFiNzQyMzNhYTQ4NDYifQ==</vt:lpwstr>
  </property>
  <property fmtid="{D5CDD505-2E9C-101B-9397-08002B2CF9AE}" pid="4" name="ICV">
    <vt:lpwstr>A85D14B0313E4040BD1873B0AAF47215_12</vt:lpwstr>
  </property>
</Properties>
</file>